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4A_42/2020 vom 18. Februar 2020</w:t>
      </w:r>
    </w:p>
    <w:p>
      <w:r>
        <w:t>Bundesgericht, 2020-02-18, DE</w:t>
      </w:r>
    </w:p>
    <w:p>
      <w:r>
        <w:rPr>
          <w:b/>
        </w:rPr>
        <w:t xml:space="preserve">Quelle: </w:t>
      </w:r>
      <w:r>
        <w:t>https://mcp.opencaselaw.ch/entscheid/bger_4A_42_2020</w:t>
      </w:r>
    </w:p>
    <w:p>
      <w:r>
        <w:t>FR: TF 4A_42/2020 du 18 février 2020</w:t>
      </w:r>
    </w:p>
    <w:p>
      <w:r>
        <w:t>IT: TF 4A_42/2020 del 18 febbraio 2020</w:t>
      </w:r>
    </w:p>
    <w:p>
      <w:pPr>
        <w:pStyle w:val="Heading2"/>
      </w:pPr>
      <w:r>
        <w:t>Erwägungen</w:t>
      </w:r>
    </w:p>
    <w:p>
      <w:r>
        <w:rPr>
          <w:b/>
        </w:rPr>
        <w:t>E. 1</w:t>
      </w:r>
    </w:p>
    <w:p>
      <w:r>
        <w:t>Mit Eingabe vom 29. August 2019 stellte der Beschwerdeführer am Handelsgericht des Kantons Aargau ein Gesuch betreffend Prosequierung einer Handelsregistersperre. Mit Entscheid vom 9. Januar 2020 wies das Handelsgericht das Gesuch ab.</w:t>
      </w:r>
    </w:p>
    <w:p>
      <w:r>
        <w:t>Gegen den Entscheid des Handelsgerichts erhob der Beschwerdeführer mit Eingabe vom 24. Januar 2020 Beschwerde in Zivilsachen an das Bundesgericht.</w:t>
      </w:r>
    </w:p>
    <w:p>
      <w:r>
        <w:t>Auf das Einholen von Vernehmlassungen zur Beschwerde wurde verzichtet.</w:t>
      </w:r>
    </w:p>
    <w:p>
      <w:r>
        <w:rPr>
          <w:b/>
        </w:rPr>
        <w:t>E. 2.1</w:t>
      </w:r>
    </w:p>
    <w:p>
      <w:r>
        <w:t>Da mit der vorliegenden Beschwerde ein Entscheid angefochten wird, der eine vorsorgliche Massnahme zum Gegenstand hat,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3</w:t>
      </w:r>
    </w:p>
    <w:p>
      <w:r>
        <w:t>Die Eingabe des Beschwerdeführers erfüllt diese Begründungsanforderungen offensichtlich nicht. Entgegen den ausführlichen und sorgfältigen Erwägungen der Vorinstanz beharrt der Beschwerdeführer vor Bundesgericht auf seiner Auffassung, dass die Handelsregistersperre aufrecht erhalten bleiben soll. Er schildert dafür aber bloss in frei gehaltenen Ausführungen seine Sicht der Dinge. Der Beschwerdeführer geht indessen offensichtlich nicht hinreichend konkret auf die Erwägungen der Vorinstanz ein, geschweige denn zeigt er nachvollziehbar auf, inwiefern diese seine verfassungsmässigen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