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4A_42/2010 vom 19. März 2010</w:t>
      </w:r>
    </w:p>
    <w:p>
      <w:r>
        <w:t>Bundesgericht, 2010-03-19, FR</w:t>
      </w:r>
    </w:p>
    <w:p>
      <w:r>
        <w:rPr>
          <w:b/>
        </w:rPr>
        <w:t xml:space="preserve">Quelle: </w:t>
      </w:r>
      <w:r>
        <w:t>https://mcp.opencaselaw.ch/entscheid/bger_4A_42_2010</w:t>
      </w:r>
    </w:p>
    <w:p>
      <w:r>
        <w:t>FR: TF 4A_42/2010 du 19 mars 2010</w:t>
      </w:r>
    </w:p>
    <w:p>
      <w:r>
        <w:t>IT: TF 4A_42/2010 del 19 marzo 2010</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Le jugement entrepris est une décision rendue en matière civile (cf. art. 72 al. 1 LTF ), mais la valeur litigieuse de la cause n'atteint pas le minimum de 30'000 fr. prévu pour le recours ordinaire dans les affaires pécuniaires ( art. 74 al. 1 let. b LTF ). Le recours en matière civile n'est dès lors ouvert que si la contestation soulève une question juridique de principe ( art. 74 al. 2 let. a LTF ).</w:t>
      </w:r>
    </w:p>
    <w:p>
      <w:r>
        <w:t>Cette notion s'interprète de manière restrictive. Il faut qu'il se pose une question juridique qui donne lieu à une incertitude caractérisée, laquelle appelle de manière pressante un éclaircissement de la part de la cour suprême ( ATF 135 III 397 consid. 1.2 p. 399 et les arrêts cités). Lorsque le point soulevé ne concerne que l'application de principes jurisprudentiels à un cas particulier, il ne saurait être qualifié de question juridique de principe ( ATF 133 III 493 consid. 1.2 p. 496).</w:t>
      </w:r>
    </w:p>
    <w:p>
      <w:r>
        <w:t>Le cas présent tombe dans cette dernière catégorie. Selon les recourants, la question juridique de principe consisterait à savoir comment régler la situation dans laquelle toutes les parties contractuelles doivent être protégées par le principe de la confiance; ils allèguent que l'application de ce principe et des devoirs pré-contractuels qui en découlent aurait également dû se faire en leur faveur. Le principe de la confiance fait l'objet d'une abondante jurisprudence. En particulier, le Tribunal fédéral s'est déjà prononcé sur sa portée lorsqu'il s'agit, comme en l'espèce, de déterminer le caractère gratuit ou non de prestations effectuées avant la rupture de pourparlers en vue de la conclusion d'un contrat d'entreprise totale (cf. ATF 119 II 40 consid. 2b et 2d p. 42 ss). Il est donc manifeste que la critique développée par les recourants ne se rapporte qu'à une question d'application du principe de la confiance dans un cas d'espèce.</w:t>
      </w:r>
    </w:p>
    <w:p>
      <w:r>
        <w:t>En conséquence, seul le recours constitutionnel subsidiaire est ouvert ( art. 113 LTF ).</w:t>
      </w:r>
    </w:p>
    <w:p>
      <w:r>
        <w:rPr>
          <w:b/>
        </w:rPr>
        <w:t>E. 1.2</w:t>
      </w:r>
    </w:p>
    <w:p>
      <w:r>
        <w:t>Le jugement attaqué est une décision finale ( art. 117 et 90 al. 1 LTF ). L'exigence légale selon laquelle la dernière instance cantonale statue sur recours n'est pas encore en vigueur (cf. art. 75 al. 2 et art. 130 al. 2 LTF ). Le fait que le Tribunal cantonal a statué en instance unique n'exclut dès lors pas le recours.</w:t>
      </w:r>
    </w:p>
    <w:p>
      <w:r>
        <w:t>Les recourants ont pris part à l'instance précédente et ont succombé dans leurs conclusions libératoires; ils ont donc qualité pour recourir ( art. 115 LTF ). Déposé en temps utile ( art. 117 et 100 al. 1 LTF ; art. 45 al. 1 et art. 46 al. 1 let . c LTF) et dans la forme requise ( art. 42 LTF ), le recours est recevable.</w:t>
      </w:r>
    </w:p>
    <w:p>
      <w:r>
        <w:rPr>
          <w:b/>
        </w:rPr>
        <w:t>E. 1.3</w:t>
      </w:r>
    </w:p>
    <w:p>
      <w:r>
        <w:t>Comme cela ressort de son intitulé, le recours constitutionnel subsidiaire ne peut être formé que pour violation des droits constitutionnels ( art. 116 LTF ). Le Tribunal fédéral n'examine que les griefs soulevés et motivés de façon détaillée par la partie recourante ( art. 117 et 106 al. 2 LTF ). L'auteur du recours doit indiquer quel droit constitutionnel a été violé, selon lui, et montrer, par une argumentation circonstanciée, en quoi consiste la violation ( ATF 134 I 83 consid. 3.2 p. 88;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Les recourants reprochent à l'autorité cantonale d'avoir arbitrairement renoncé à appliquer le principe de la confiance et les règles sur les devoirs pré-contractuels dans le cadre des pourparlers, ainsi que d'avoir arbitrairement fait abstraction du principe de la confiance dans l'interprétation des déclarations de volonté. Pour l'essentiel, dans des développements largement appellatoires et, partant, irrecevables, ils se présentent comme la partie inexpérimentée et faible et considèrent que l'intimée, partie expérimentée et forte, devait les informer sur son droit d'obtenir une rémunération à certaines conditions.</w:t>
      </w:r>
    </w:p>
    <w:p>
      <w:r>
        <w:rPr>
          <w:b/>
        </w:rPr>
        <w:t>E. 2.1</w:t>
      </w:r>
    </w:p>
    <w:p>
      <w:r>
        <w:t>Dans l'arrêt publié aux ATF 119 II 40 (consid. 2b et 2d p. 42 ss), le Tribunal fédéral a clairement posé les distinctions à opérer, en droit de la construction, entre l'offre gratuite et le travail à rémunérer. Les dépenses occasionnées par les études préliminaires devant servir, notamment, à la détermination du coût probable de l'ouvrage et, partant, à l'établissement de l'offre y relative, entrent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w:t>
      </w:r>
    </w:p>
    <w:p>
      <w:r>
        <w:t>En revanche, l'entrepreneur peut prétendre à une rémunération de nature contractuelle lorsqu'il a été convenu qu'il serait rétribué pour l'établissement du projet initial ou encore lorsque l'on peut inférer des faits de la cause que les intéressés ont passé - à tout le moins par actes concluants - un contrat partiel spécial portant sur l'étude préliminaire. Cette dernière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w:t>
      </w:r>
    </w:p>
    <w:p>
      <w:r>
        <w:t>Cependant, le droit de l'auteur du projet à une rémunération peut découler également du fait que le destinataire de cette prestation, même si elle ne constitue qu'une simple offre suivant le stade des négociations auquel elle intervient, en tire effectivement parti, c'est-à-dire réalise ou fait réaliser les idées qui y sont incorporées. En ce cas, le bénéficiaire de la prestation la met à profit alors qu'il ne peut ignorer, puisque cela correspond au cours ordinaire des choses, que celui qui la lui a fournie n'entendait pas le faire à titre gracieux; en agissant de la sorte, il s'oblige à effectuer une contre-prestation dont le montant doit être déterminé suivant les principes applicables en matière contractuelle.</w:t>
      </w:r>
    </w:p>
    <w:p>
      <w:r>
        <w:rPr>
          <w:b/>
        </w:rPr>
        <w:t>E. 2.2</w:t>
      </w:r>
    </w:p>
    <w:p>
      <w:r>
        <w:t>Dans un premier temps, l'autorité cantonale a constaté qu'il n'était pas possible de déterminer la réelle et commune intention des parties quant à la rémunération des travaux effectués par l'intimée pour le cas où le contrat d'entreprise ne serait pas conclu. Cette constatation, incontestée, lie le Tribunal fédéral ( art. 105 al. 1 LTF ).</w:t>
      </w:r>
    </w:p>
    <w:p>
      <w:r>
        <w:t>La juge a procédé ensuite à une interprétation selon le principe de la confiance. Celle-ci consiste, de manière générale, à rechercher comment une déclaration ou une attitude pouvait être comprise de bonne foi en fonction de l'ensemble des circonstances (cf. ATF 135 III 295 consid. 5.2 p. 302; 133 III 61 consid. 2.2.1 p. 67; 132 III 268 consid. 2.3.2 p. 274). Constatant que le travail fourni par l'intimée représentait 28,5% des prestations d'architecte prévues par la norme SIA 102 pour la villa G et 19,5% pour la villa H, l'autorité cantonale en a déduit que les recourants, dont l'un exerce la profession indépendante de médecin-dentiste, ne pouvaient pas ignorer que de telles prestations ne sont généralement pas fournies sans contrepartie.</w:t>
      </w:r>
    </w:p>
    <w:p>
      <w:r>
        <w:t>On ne discerne pas en quoi l'autorité cantonale aurait, ce faisant, appliqué le principe de la confiance de manière arbitraire. Au contraire, elle s'est conformée à la jurisprudence topique précitée. Il est d'ailleurs assez évident pour tout un chacun que les architectes ne fournissent pas des prestations d'une telle ampleur gratuitement; rien ne permet de retenir que les recourants ne pouvaient manifestement pas s'en rendre compte. En outre, si le document du 18 novembre 2003 prévoit bien que le montant de la commande est de zéro franc, il y est également précisé que l'acte vaut comme commande si l'objectif défini est atteint. A la lecture de ce document rédigé par A.________, les recourants ne pouvaient de bonne foi en déduire que l'intention de l'intimée était de leur offrir les prestations préalables à la conclusion du contrat d'entreprise totale même si l'objectif n'était pas atteint et que l'acte ne valait pas comme commande, ce alors que la valeur desdites prestations est expressément chiffrée à 30'000 fr. En plus, les recourants ont remis les plans à un autre architecte, finalement chargé de la construction de leur villa sur un autre terrain.</w:t>
      </w:r>
    </w:p>
    <w:p>
      <w:r>
        <w:t>En conclusion, le moyen pris d'une application arbitraire du principe de la confiance est mal fondé.</w:t>
      </w:r>
    </w:p>
    <w:p>
      <w:r>
        <w:rPr>
          <w:b/>
        </w:rPr>
        <w:t>E. 3</w:t>
      </w:r>
    </w:p>
    <w:p>
      <w:r>
        <w:t>Les recourants reprochent par ailleurs à l'autorité cantonale d'être tombée dans l'arbitraire en retenant 427 heures facturables en faveur de l'intimée.</w:t>
      </w:r>
    </w:p>
    <w:p>
      <w:r>
        <w:t>L'expert judiciaire commis par l'autorité cantonale a retenu 427 heures de travail donnant droit à des honoraires de 55'134 fr. Dans ces circonstances, il n'y avait aucun arbitraire à allouer le montant de 25'000 fr. réclamé par l'intimée. Les objections des recourants, largement appellatoires et en partie fondées sur des faits qui ne ressortent pas du jugement attaqué, sont pour l'essentiel irrecevables. Au demeurant, il n'est pas sérieux de soutenir que l'activité déployée par l'intimée, laquelle a conduit notamment à l'obtention de deux permis de construire, ne dépassait pas les travaux nécessaires à l'établissement d'une simple offre. Il est à noter également que le document du 18 novembre 2003 estimait, uniquement pour la première villa, à 30'000 fr. la valeur des prestations à fournir avant la conclusion éventuelle du contrat d'entreprise.</w:t>
      </w:r>
    </w:p>
    <w:p>
      <w:r>
        <w:t>Il s'ensuit que, là également, le grief tiré de l'arbitraire doit être écarté.</w:t>
      </w:r>
    </w:p>
    <w:p>
      <w:r>
        <w:rPr>
          <w:b/>
        </w:rPr>
        <w:t>E. 4</w:t>
      </w:r>
    </w:p>
    <w:p>
      <w:r>
        <w:t>Sur le vu de ce qui précède, le recours en matière civile est irrecevable et le recours constitutionnel subsidiaire ne peut être que rejeté dans la mesure où il est recevable.</w:t>
      </w:r>
    </w:p>
    <w:p>
      <w:r>
        <w:t>Les recourants, qui succombent, prendront à leur charge les frais judiciaires ( art. 66 LTF ) et verseront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