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4A_429/2012 vom 2. November 2012</w:t>
      </w:r>
    </w:p>
    <w:p>
      <w:r>
        <w:t>Bundesgericht, 2012-11-02, FR</w:t>
      </w:r>
    </w:p>
    <w:p>
      <w:r>
        <w:rPr>
          <w:b/>
        </w:rPr>
        <w:t xml:space="preserve">Quelle: </w:t>
      </w:r>
      <w:r>
        <w:t>https://mcp.opencaselaw.ch/entscheid/bger_4A_429_2012</w:t>
      </w:r>
    </w:p>
    <w:p>
      <w:r>
        <w:t>FR: TF 4A_429/2012 du 2 novembre 2012</w:t>
      </w:r>
    </w:p>
    <w:p>
      <w:r>
        <w:t>IT: TF 4A_429/2012 del 2 novembre 2012</w:t>
      </w:r>
    </w:p>
    <w:p>
      <w:pPr>
        <w:pStyle w:val="Heading2"/>
      </w:pPr>
      <w:r>
        <w:t>Erwägungen</w:t>
      </w:r>
    </w:p>
    <w:p>
      <w:r>
        <w:rPr>
          <w:b/>
        </w:rPr>
        <w:t>E. 1.1</w:t>
      </w:r>
    </w:p>
    <w:p>
      <w:r>
        <w:t>Interjeté par la partie qui a succombé dans ses conclusions en paiement ( art. 76 al. 1 LTF ) et dirigé contre un arrêt final ( art. 90 LTF ) rendu en matière civile ( art. 72 al. 1 LTF ) par une autorité cantonale de dernière instance ( art. 75 LTF ) dans une affaire pécuniaire dont la valeur litigieuse dépasse largement le seuil de 30'000 fr. ( art. 74 al. 1 let. b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 58 consid. 4.1.2 p. 62;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Le recourant présente un "bref rappel de la chronologie des faits et de la procédure antérieure" (mémoire de recours p. 5 à 7). Il ne prétend toutefois pas qu'un point de fait aurait été établi de manière arbitraire par l'autorité précédente et il n'y a donc pas lieu de s'écarter de l'état de fait contenu dans l'arrêt cantonal.</w:t>
      </w:r>
    </w:p>
    <w:p>
      <w:r>
        <w:rPr>
          <w:b/>
        </w:rPr>
        <w:t>E. 1.4</w:t>
      </w:r>
    </w:p>
    <w:p>
      <w:r>
        <w:t>Le Tribunal fédéral ne peut aller au-delà des conclusions des parties ( art. 107 al. 1 LTF ). Toute conclusion nouvelle est irrecevable ( art. 99 al. 2 LTF ).</w:t>
      </w:r>
    </w:p>
    <w:p>
      <w:r>
        <w:rPr>
          <w:b/>
        </w:rPr>
        <w:t>E. 2</w:t>
      </w:r>
    </w:p>
    <w:p>
      <w:r>
        <w:t>La présente cause porte sur l'existence d'un contrat (de vente) contenant au moins un élément d'extranéité, l'acheteur (la société V.________) ayant son siège dans la Fédération de .... Le cessionnaire (recourant) est d'ailleurs domicilié dans le même pays. Dans un litige afférent à des contrats internationaux (cf. sur cette notion: arrêt 4C.307/2003 du 19 février 2004 consid. 2.2 et l'auteur cité), le Tribunal fédéral doit contrôler d'office la question du droit applicable ( ATF 135 III 259 consid. 2.1 p. 261; 133 III 37 consid. 2 p. 39, 323 consid. 2.1 p. 327 s.; 118 II 83 consid. 2b).</w:t>
      </w:r>
    </w:p>
    <w:p>
      <w:r>
        <w:t>Aux termes de l' art. 118 al. 1 LDIP , les ventes mobilières sont régies par la Convention de La Haye du 15 juin 1955 sur la loi applicable aux ventes à caractère international d'objets mobiliers corporels (RS 0.221.211.4; ci-après: la Convention de La Haye). Il est précisé que la Convention des Nations Unies du 11 avril 1980 sur les contrats de vente internationale de marchandises (CVIM; RS 0.221.211.1) ne peut ici trouver application puisqu'elle ne régit pas la validité du contrat ( art. 4 CVIM ).</w:t>
      </w:r>
    </w:p>
    <w:p>
      <w:r>
        <w:t>Selon l'art. 2 de la Convention de La Haye, la vente est régie par la loi interne du pays désigné par les parties contractantes (al. 1); cette désignation doit faire l'objet d'une clause expresse ou résulter indubitablement des dispositions du contrat (al. 2). A défaut de loi déclarée applicable par les parties, la vente est régie par la loi interne du pays où le vendeur a sa résidence habituelle au moment où il reçoit la commande (art. 3 al. 1 de la Convention de La Haye).</w:t>
      </w:r>
    </w:p>
    <w:p>
      <w:r>
        <w:t>En l'espèce, le contrat litigieux prévoit à son art. 6 l'application du Code civil de la Fédération de ... et de la loi suisse, pour toutes les questions qui ne sont pas traitées par les dispositions contractuelles. Ainsi libellée, cette clause ne désigne pas de façon suffisamment univoque un droit applicable au contrat. Il y a donc lieu d'appliquer l'art. 3 al. 1 de la Convention de La Haye; comme le vendeur avait sa résidence habituelle à Genève lors de la vente, la cause est régie par le droit suisse, ce qui n'est d'ailleurs pas contesté par les parties.</w:t>
      </w:r>
    </w:p>
    <w:p>
      <w:r>
        <w:rPr>
          <w:b/>
        </w:rPr>
        <w:t>E. 3.1</w:t>
      </w:r>
    </w:p>
    <w:p>
      <w:r>
        <w:t>Le recourant estime que c'est à tort que la cour cantonale a écarté un avis de droit du 16 juin 2011 (déposé par la société demanderesse) en jugeant que sa production était tardive au sens de l' art. 317 CPC . Il rappelle que les démarches qui ont dû être effectuées pour obtenir cette pièce "ont été longues et difficiles, s'agissant d'un pays étranger, d'une langue étrangère, et d'un spécialiste à l'emploi du temps extrêmement chargé". Il met en évidence que l'avis de droit contredit l'argument de l'intimé selon lequel la législation ... restreignait la sortie de devises de la Fédération de .... Invoquant l'arbitraire, il soutient que l'autorité précédente a dès lors omis, sans aucune raison sérieuse, de prendre en compte un élément de preuve propre à modifier la décision attaquée.</w:t>
      </w:r>
    </w:p>
    <w:p>
      <w:r>
        <w:rPr>
          <w:b/>
        </w:rPr>
        <w:t>E. 3.2</w:t>
      </w:r>
    </w:p>
    <w:p>
      <w:r>
        <w:t>Si on doit considérer le contenu de cet avis de droit comme une argumentation juridique présentée par le recourant, il faut constater - pour les raisons que l'on verra ultérieurement (cf. infra consid. 4.2 - 4.3) - que le point de droit soulevé n'est pas décisif pour trancher la cause. S'il faut considérer l'avis de ce spécialiste comme un véritable moyen de preuve en vue d'établir la teneur du droit étranger, il faut conclure que la décision cantonale échappe à la critique pour les raisons suivantes.</w:t>
      </w:r>
    </w:p>
    <w:p>
      <w:r>
        <w:t>Selon les constatations cantonales, qui lient le Tribunal fédéral ( art. 105 al. 1 LTF ), la question à laquelle répond l'avis de droit était déjà débattue par les parties devant la première instance. On est donc en présence d'un point litigieux qui existait déjà devant celle-ci. La société demanderesse devait présenter ses moyens de preuve en rapport avec cette question devant cette autorité (cf. art. 229 CPC ). Si elle estimait ne pas pouvoir produire cette pièce devant la première instance, pour les raisons que le recourant (cessionnaire) évoque aujourd'hui, il lui incombait, en vertu de l' art. 317 al. 1 let. b CPC , de démontrer qu'elle avait pourtant fait preuve de la diligence requise (NICOLAS JEANDIN, in Code de procédure civile commenté, Bohnet et al. (éd.), 2011, n° 8 ad art. 317 CPC ; REETZ/HILBER, in Kommentar zur Schweizerischen Zivilprozessordnung, Sutter-Somm/Hasenböhler/Leuenberger (éd.), 2010 nos 60 s. ad art. 317 CPC ). Or, la société demanderesse n'a pas apporté cette preuve devant l'instance précédente; selon les constatations cantonales, elle n'a même pas prétendu qu'elle n'aurait pas pu obtenir cet avis déjà dans le cadre de la procédure de première instance. La condition posée à l' art. 317 al. 1 let. b CPC n'est pas remplie et l'on ne saurait donc reprocher à la cour cantonale d'avoir écarté la pièce produite tardivement.</w:t>
      </w:r>
    </w:p>
    <w:p>
      <w:r>
        <w:t>Il n'appartient pas au Tribunal fédéral de solliciter aujourd'hui l'avis de droit que cette dernière entendait produire et que la cour cantonale a écarté à juste titre. C'est donc en vain que le recourant invoque l' art. 55 al. 2 LTF .</w:t>
      </w:r>
    </w:p>
    <w:p>
      <w:r>
        <w:rPr>
          <w:b/>
        </w:rPr>
        <w:t>E. 4.1</w:t>
      </w:r>
    </w:p>
    <w:p>
      <w:r>
        <w:t>Le recourant tente de démontrer que la cour cantonale a sombré dans l'arbitraire en excluant "l'existence d'un contrat de vente".</w:t>
      </w:r>
    </w:p>
    <w:p>
      <w:r>
        <w:t>La critique du recourant tombe à faux. Il faut en effet observer que l'autorité précédente ne nie pas, en soi, l'existence d'un document intitulé contrat de vente. Elle a jugé "impossible de retenir l'existence d'un contrat de vente réellement voulu par les parties ni d'une donation faite à l'épouse de l'intimé" (arrêt entrepris p. 21). Autrement dit, au terme de l'administration des preuves, elle est arrivée à la conclusion qu'il n'a pas été établi que les parties ont eu la volonté réelle de conclure un contrat de vente (à cet égard cf. infra consid. 4.2).</w:t>
      </w:r>
    </w:p>
    <w:p>
      <w:r>
        <w:t>En soi, l'existence d'un contrat de vente apparent entre les parties n'est pas contestée. Certes, après avoir reconnu avoir signé ce contrat ainsi que les deux avenants prolongeant le délai de livraison, l'intimé a soutenu, pour la première fois lors de l'audience du 14 septembre 2010, que la signature figurant sur le contrat et sur le second avenant n'était pas la sienne. Cela importe peu en l'espèce dans la mesure où, en signant le premier avenant le défendeur a confirmé sa qualité de partie au contrat. Il est donc indéniable que la conclusion du contrat de vente apparent entre les parties a été établie par le recourant.</w:t>
      </w:r>
    </w:p>
    <w:p>
      <w:r>
        <w:rPr>
          <w:b/>
        </w:rPr>
        <w:t>E. 4.2</w:t>
      </w:r>
    </w:p>
    <w:p>
      <w:r>
        <w:t>Il convenait alors de déterminer si le contrat de vente était simulé. Savoir si les parties avaient la volonté (réelle) de feindre une telle convention revient à constater leur volonté interne au moment de la conclusion du contrat, ce qui constitue une question de fait (arrêt 4A_362/2012 du 28 septembre 2012 consid. 4.2).</w:t>
      </w:r>
    </w:p>
    <w:p>
      <w:r>
        <w:t>On parle d'acte simulé au sens de l' art. 18 CO lorsque les deux parties sont d'accord que les effets juridiques correspondant au sens objectif de leur déclaration ne doivent pas se produire et qu'elles n'ont voulu créer que l'apparence d'un acte juridique à l'égard des tiers ( ATF 123 IV 61 consid. 5c/cc p. 68; 112 II 337 consid. 4a p. 343; 97 II 201 consid. 5 p. 207 et les arrêts cités). Leur volonté véritable tendra soit à ne produire aucun effet juridique, soit à produire un autre effet que celui de l'acte apparent; dans ce dernier cas, les parties entendent en réalité conclure un second acte dissimulé ( ATF 123 IV 61 consid. 5c/cc p. 68; 112 II 337 consid. 4a p. 343). Juridiquement inefficace d'après la volonté réelle et commune des parties, le contrat simulé est nul ( ATF 123 IV 61 consid. 5c/cc p. 68; 97 II 201 consid. 5 p. 207 et les arrêts cités), tandis que le contrat dissimulé - que, le cas échéant, les parties ont réellement conclu - est valable si les dispositions légales auxquelles il est soumis quant à sa forme et à son contenu ont été observées ( ATF 117 II 382 consid. 2a p. 384 s.; 96 II 383 consid. 3a p. 390; arrêt 4A_362/2012 déjà cité consid. 4.1 et les références).</w:t>
      </w:r>
    </w:p>
    <w:p>
      <w:r>
        <w:t>Il incombe à celui qui se prévaut de la simulation d'en apporter la preuve ( art. 8 CC ), étant précisé qu'on ne saurait admettre trop facilement que les déclarations ou attitudes des parties ne correspondent pas à leur volonté réelle; le juge doit se montrer exigeant en matière de preuve d'une simulation ( ATF 112 II 337 consid. 4a p. 342; arrêts 4A_96/2008 du 26 mai 2008 consid. 2.3 publié in SJ 2008 I p. 448; 4P.59/2002 du 6 juin 2002 consid. 2b). Des allégations de caractère général et de simples présomptions ne suffisent pas. Selon la jurisprudence, le comportement ultérieur des parties est un indice de leur intention réelle au moment de la conclusion du contrat ( ATF 112 II 337 consid. 4a p. 343).</w:t>
      </w:r>
    </w:p>
    <w:p>
      <w:r>
        <w:t>La cour cantonale considère qu'il est "impossible de retenir l'existence d'un contrat de vente réellement voulu par les parties". Même si le contexte dans lequel elle s'exprime n'est pas des plus clairs (la cour cantonale met en évidence la difficulté pour chacune des parties d'établir les faits allégués, en présence de déclarations souvent contradictoires), on comprend que l'autorité précédente, qui souligne préalablement être convaincue que B.Y.________ a bien ouvert un compte auprès de la société U.________ SA (sur lequel les 250'000 USD ont été versés), retient que les parties n'avaient pas l'intention de se lier par un contrat de vente. Elle se rallie implicitement au premier juge qui a "acquis la conviction que le contrat de vente était simulé" (jugement de première instance p. 21).</w:t>
      </w:r>
    </w:p>
    <w:p>
      <w:r>
        <w:t>Dès lors que la cour cantonale s'est forgée une conviction, il n'y a, contrairement à ce que pense le recourant, plus de place pour une application de l' art. 8 CC qui concerne le fardeau de la preuve. Il n'importe à cet égard que la cour précédente n'ait pas établi s'il s'agissait ou non d'une donation (destinée à contourner la législation ... sur la sortie des devises de la Fédération de ...). Il suffit d'observer que, selon les constatations cantonales, l'acte de vente était simulé.</w:t>
      </w:r>
    </w:p>
    <w:p>
      <w:r>
        <w:rPr>
          <w:b/>
        </w:rPr>
        <w:t>E. 4.3</w:t>
      </w:r>
    </w:p>
    <w:p>
      <w:r>
        <w:t>Au demeurant, on ne saurait, au regard des indices énumérés par les autorités précédentes, reprocher à la cour cantonale d'avoir sombré dans l'arbitraire en établissant ainsi la volonté interne des parties. De nombreux éléments de preuve corroborent en effet la thèse de la simulation.</w:t>
      </w:r>
    </w:p>
    <w:p>
      <w:r>
        <w:t>On observe tout d'abord que la société V.________ n'a jamais requis la délivrance du véhicule commandé auprès de l'intimé.</w:t>
      </w:r>
    </w:p>
    <w:p>
      <w:r>
        <w:t>Il faut en outre rappeler que V.________ appartient au père de B.Y.________ et que le président, qui a représenté la société dans la procédure, est son frère. Il est frappant de constater que cette société a élevé pour la première fois ses prétentions (en paiement) à l'encontre de l'intimé - plus de neuf mois après l'échéance du délai de livraison prolongé - alors qu'une procédure de divorce était pendante entre les époux Y.________.</w:t>
      </w:r>
    </w:p>
    <w:p>
      <w:r>
        <w:t>Il ressort également des constatations des autorités précédentes que toutes les négociations portant sur la vente ont été menées, non par le directeur général de V.________, mais par le père de B.Y.________ et que c'est ce dernier qui a remis au directeur de la société les actes à signer et donné toutes les instructions nécessaires.</w:t>
      </w:r>
    </w:p>
    <w:p>
      <w:r>
        <w:t>Quant au montant de 250'000 USD, il n'a pas été versé sur un compte appartenant à l'intimé, mais sur un compte dont l'ayant droit était B.Y.________.</w:t>
      </w:r>
    </w:p>
    <w:p>
      <w:r>
        <w:t>Il n'a en outre pas été établi que ce montant aurait été remis au garage de R.________ qui devait livrer le véhicule; il apparaît plutôt que, dans les semaines qui ont suivi le versement de la somme, des montants importants ont été prélevés et utilisés pour les besoins du couple Y.________ et en particulier de B.Y.________. A cet égard, le comportement de celle-ci en procédure constitue également un indice corroborant la thèse d'une simulation; B.Y.________ a affirmé n'avoir jamais reçu d'argent pour elle-même chez U.________ SA; or, ces indications ont été contredites par les pièces produites.</w:t>
      </w:r>
    </w:p>
    <w:p>
      <w:r>
        <w:t>On relèvera enfin que le témoin-clé qui, selon B.Y.________, aurait pu confirmer la thèse défendue par la société V.________, soit la personne qui aurait discuté avec l'intimé de l'achat de la voiture à R.________, n'a jamais été cité par la société demanderesse.</w:t>
      </w:r>
    </w:p>
    <w:p>
      <w:r>
        <w:t>Cela étant, on ne saurait faire grief à la cour cantonale d'avoir fait preuve d'arbitraire en écartant toute volonté réelle des parties de se lier par un contrat de vente. On ne saurait pas non plus lui reprocher de s'être basée sur de simples présomptions et, partant, d'avoir ignoré l'exigence de preuve pour établir l'existence d'un acte simulé; les nombreux indices présentés par la cour cantonale sont en effet révélateurs de l'intention des parties d'accomplir un acte simulé.</w:t>
      </w:r>
    </w:p>
    <w:p>
      <w:r>
        <w:t>L'acte de vente étant nul, c'est à bon droit que la cour cantonale a rejeté la demande, le recourant ne disposant d'aucun titre pour réclamer la restitution de la somme de 250'000 USD qui a été versée par V.________ sur un compte dont l'ayant droit était B.Y.________.</w:t>
      </w:r>
    </w:p>
    <w:p>
      <w:r>
        <w:rPr>
          <w:b/>
        </w:rPr>
        <w:t>E. 5</w:t>
      </w:r>
    </w:p>
    <w:p>
      <w:r>
        <w:t>Il résulte des considérations qui précèdent que le recours doit être rejeté.</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