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429/2008 vom 24. November 2008</w:t>
      </w:r>
    </w:p>
    <w:p>
      <w:r>
        <w:t>Bundesgericht, 2008-11-24, FR</w:t>
      </w:r>
    </w:p>
    <w:p>
      <w:r>
        <w:rPr>
          <w:b/>
        </w:rPr>
        <w:t xml:space="preserve">Quelle: </w:t>
      </w:r>
      <w:r>
        <w:t>https://mcp.opencaselaw.ch/entscheid/bger_4A_429_2008</w:t>
      </w:r>
    </w:p>
    <w:p>
      <w:r>
        <w:t>FR: TF 4A 429/2008 du 24 novembre 2008</w:t>
      </w:r>
    </w:p>
    <w:p>
      <w:r>
        <w:t>IT: TF 4A 429/2008 del 24 novembre 2008</w:t>
      </w:r>
    </w:p>
    <w:p>
      <w:pPr>
        <w:pStyle w:val="Heading2"/>
      </w:pPr>
      <w:r>
        <w:t>Regeste</w:t>
      </w:r>
    </w:p>
    <w:p>
      <w:r>
        <w:t>contrat de travail, licenciement | Droit des contrats</w:t>
      </w:r>
    </w:p>
    <w:p>
      <w:pPr>
        <w:pStyle w:val="Heading2"/>
      </w:pPr>
      <w:r>
        <w:t>Erwägungen</w:t>
      </w:r>
    </w:p>
    <w:p>
      <w:r>
        <w:rPr>
          <w:b/>
        </w:rPr>
        <w:t>E. 1</w:t>
      </w:r>
    </w:p>
    <w:p>
      <w:r>
        <w:t>Le Tribunal fédéral examine d'office et librement la recevabilité des recours qui lui sont soumis ( ATF 134 III 235 consid. 1 p. 236). En l'espèce, la Cour d'appel a constaté, dans les considérants de l'arrêt attaqué, que les parties ont élevé entre elles des prétentions sans aucun rapport avec le contrat de travail, de telle sorte qu'elle a considéré que le premier Tribunal s'est à bon droit déclaré incompétent ratione materiae pour en connaître. Cela étant, l'arrêt attaqué doit être interprété en ce sens qu'il liquide les relations entre les parties exclusivement sous l'angle du contrat de travail. Il en découle que la Cour d'appel de la juridiction des prud'hommes a statué sur les créances de droit du travail, mais non pas sur leur extinction par compensation avec des créances ne relevant pas de cette juridiction, mais d'une autre juridiction. Les recourants reprochent à la Cour d'appel de les avoir empêchés de faire valoir leurs créances compensantes au sens de l' art. 120 CO et soutiennent que l'autorité cantonale aurait dû leur impartir un délai pour faire valoir leurs créances devant l'autorité compétente. Ils concluent ainsi à ce que le Tribunal fédéral suspende les effets de l'arrêt de la Cour d'appel des prud'hommes et leur impartisse un délai pour faire valoir leurs créances compensantes devant l'autorité compétente. Cette manière de faire peut s'appuyer sur la jurisprudence, puisqu'il a été jugé par le Tribunal fédéral que, pour être conforme au droit fédéral, la juridiction cantonale, si elle se déclare incompétente pour se prononcer sur l'exception de compensation, doit impartir un délai au défendeur pour faire valoir sa prétention devant l'autorité compétente et déclarer son jugement non exécutoire, dans l'intervalle, à concurrence de la somme opposée en compensation ( ATF 85 II 103 consid. 2c p. 108; 76 II 43 consid. 4 p. 44; voir aussi l'arrêt 4P.8/2006 du 4 mai 2006, consid. 2.3). Il faut toutefois observer que les recourants n'ont pas demandé cette manière de procéder devant la cour cantonale, de sorte qu'ils formulent dans le cadre du présent recours une conclusion nouvelle, qui est irrecevable ( art. 99 al. 2 LTF ; cf. Message du 28 février 2001 concernant la révision totale de l'organisation judiciaire fédérale, FF 2001 4137 ch. 4.1.4.3). En concluant au déboutement de l'intimé de toutes autres ou contraires conclusions, les recourants ont exprimé leur position sur d'éventuelles conclusions formées par la partie adverse devant le Tribunal fédéral; on ne saurait en tirer une quelconque prise de position quant au fond du litige. Il s'ensuit que le recours, qui ne porte que sur la conclusion nouvellement formulée, est irrecevable.</w:t>
      </w:r>
    </w:p>
    <w:p>
      <w:r>
        <w:rPr>
          <w:b/>
        </w:rPr>
        <w:t>E. 2</w:t>
      </w:r>
    </w:p>
    <w:p>
      <w:r>
        <w:t>Compte tenu de l'issue du litige, les recourants, qui succombent, doivent acquitter l'émolument judiciaire et les dépens à allouer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