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429/2007 vom 30. November 2007</w:t>
      </w:r>
    </w:p>
    <w:p>
      <w:r>
        <w:t>Bundesgericht, 2007-11-30, FR</w:t>
      </w:r>
    </w:p>
    <w:p>
      <w:r>
        <w:rPr>
          <w:b/>
        </w:rPr>
        <w:t xml:space="preserve">Quelle: </w:t>
      </w:r>
      <w:r>
        <w:t>https://mcp.opencaselaw.ch/entscheid/bger_4A_429_2007</w:t>
      </w:r>
    </w:p>
    <w:p>
      <w:r>
        <w:t>FR: TF 4A 429/2007 du 30 novembre 2007</w:t>
      </w:r>
    </w:p>
    <w:p>
      <w:r>
        <w:t>IT: TF 4A 429/2007 del 30 novembre 2007</w:t>
      </w:r>
    </w:p>
    <w:p>
      <w:pPr>
        <w:pStyle w:val="Heading2"/>
      </w:pPr>
      <w:r>
        <w:t>Regeste</w:t>
      </w:r>
    </w:p>
    <w:p>
      <w:r>
        <w:t>contrat de mandat | Droit des contrats</w:t>
      </w:r>
    </w:p>
    <w:p>
      <w:pPr>
        <w:pStyle w:val="Heading2"/>
      </w:pPr>
      <w:r>
        <w:t>Erwägungen</w:t>
      </w:r>
    </w:p>
    <w:p>
      <w:r>
        <w:rPr>
          <w:b/>
        </w:rPr>
        <w:t>E. 1</w:t>
      </w:r>
    </w:p>
    <w:p>
      <w:r>
        <w:t>La cause 4A_429/2007 est rayée du rôle par suite de transaction.</w:t>
      </w:r>
    </w:p>
    <w:p>
      <w:r>
        <w:rPr>
          <w:b/>
        </w:rPr>
        <w:t>E. 2</w:t>
      </w:r>
    </w:p>
    <w:p>
      <w:r>
        <w:t>Un émolument judiciaire de 500 fr. est mis à la charge de la recourante.</w:t>
      </w:r>
    </w:p>
    <w:p>
      <w:r>
        <w:rPr>
          <w:b/>
        </w:rPr>
        <w:t>E. 3</w:t>
      </w:r>
    </w:p>
    <w:p>
      <w:r>
        <w:t>La présente ordonnance est communiquée aux mandataires des parties et à la Chambre civile de la Cour de justice du canton de Genève. Lausanne, le 30 novembre 2007 Au nom de la Ire Cour de droit civil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