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4A_427/2022 vom 5. September 2024</w:t>
      </w:r>
    </w:p>
    <w:p>
      <w:r>
        <w:t>Bundesgericht, 2024-09-05, IT</w:t>
      </w:r>
    </w:p>
    <w:p>
      <w:r>
        <w:rPr>
          <w:b/>
        </w:rPr>
        <w:t xml:space="preserve">Quelle: </w:t>
      </w:r>
      <w:r>
        <w:t>https://mcp.opencaselaw.ch/entscheid/bger_4A_427_2022</w:t>
      </w:r>
    </w:p>
    <w:p>
      <w:r>
        <w:t>FR: TF 4A_427/2022 du 5 septembre 2024</w:t>
      </w:r>
    </w:p>
    <w:p>
      <w:r>
        <w:t>IT: TF 4A_427/2022 del 5 settembre 2024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Riferendosi al certificato di investimento in cui era indicato che le garanzie emesse sono depositate nel deposito dell'avvocato/notaio, la Corte cantonale ha ritenuto che non era necessario esaminare se controfirmando tale documento l'opponente si era reso responsabile in base a un atto illecito o in virtù di una responsabilità fondata sulla fiducia, poiché il termine annuale del previgente art. 60 CO era scaduto e l'azione di risarcimento prescritta.</w:t>
      </w:r>
    </w:p>
    <w:p>
      <w:r>
        <w:rPr>
          <w:b/>
        </w:rPr>
        <w:t>E. 6.2</w:t>
      </w:r>
    </w:p>
    <w:p>
      <w:r>
        <w:t>La ricorrente afferma che il termine di prescrizione ha invece unicamente cominciato a decorrere con l'introduzione dell'azione collettiva nell'ottobre 2006, trattandosi di un rapporto di durata (deposito) che è stato disdetto al più presto con l'introduzione dell'azione. Per tale motivo ritiene che il danno nel senso dell' art. 67 LFI è sorto al più presto in tale momento.</w:t>
      </w:r>
    </w:p>
    <w:p>
      <w:r>
        <w:rPr>
          <w:b/>
        </w:rPr>
        <w:t>E. 6.3</w:t>
      </w:r>
    </w:p>
    <w:p>
      <w:r>
        <w:t>In concreto con la predetta argomentazione, basata a torto sull'assunto che l'opponente soggiaccia a una responsabilità basata sulla LFI, la ricorrente inammissibilmente non si confronta con la motivazione della sentenza impugnata concernente l'intervenuta prescrizione di un'eventuale responsabilità per atto illecito o fondata sulla fiducia.</w:t>
      </w:r>
    </w:p>
    <w:p>
      <w:r>
        <w:rPr>
          <w:b/>
        </w:rPr>
        <w:t>E. 7</w:t>
      </w:r>
    </w:p>
    <w:p>
      <w:r>
        <w:t>Da quanto precede discende che il ricorso, nella misura in cui risulta ammissibile, si palesa infondato e in quanto tale va respinto. Le spese giudiziarie seguono la soccombenza ( art. 66 cpv. 1 LTF ). Non si giusti-fica invece assegnare ripetibili: l'opponente ha agito senza l'ausilio di un - altro - avvocato e non è quindi incorso in spese di patrocinio. Non sono nemmeno date le condizioni che giustificano un'eccezione a tale principio, lo stesso opponente sostenendo che la presente causa sia in sostanza uguale a quella pilota, già decisa nel 2017 ( DTF 129 II 297 consid. 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