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4A_427/2008 vom 28. November 2008</w:t>
      </w:r>
    </w:p>
    <w:p>
      <w:r>
        <w:t>Bundesgericht, 2008-11-28, DE</w:t>
      </w:r>
    </w:p>
    <w:p>
      <w:r>
        <w:rPr>
          <w:b/>
        </w:rPr>
        <w:t xml:space="preserve">Quelle: </w:t>
      </w:r>
      <w:r>
        <w:t>https://mcp.opencaselaw.ch/entscheid/bger_4A_427_2008</w:t>
      </w:r>
    </w:p>
    <w:p>
      <w:r>
        <w:t>FR: TF 4A_427/2008 du 28 novembre 2008</w:t>
      </w:r>
    </w:p>
    <w:p>
      <w:r>
        <w:t>IT: TF 4A_427/2008 del 28 novembre 2008</w:t>
      </w:r>
    </w:p>
    <w:p>
      <w:pPr>
        <w:pStyle w:val="Heading2"/>
      </w:pPr>
      <w:r>
        <w:t>Erwägungen</w:t>
      </w:r>
    </w:p>
    <w:p>
      <w:r>
        <w:rPr>
          <w:b/>
        </w:rPr>
        <w:t>E. 1</w:t>
      </w:r>
    </w:p>
    <w:p>
      <w:r>
        <w:t>Das Bundesgericht prüft von Amtes wegen und mit freier Kognition, ob ein Rechtsmittel zulässig ist ( BGE 134 III 520 E. 1 S. 521 mit Hinweis).</w:t>
      </w:r>
    </w:p>
    <w:p>
      <w:r>
        <w:rPr>
          <w:b/>
        </w:rPr>
        <w:t>E. 1.1</w:t>
      </w:r>
    </w:p>
    <w:p>
      <w:r>
        <w:t>Der angefochtene Entscheid schliesst das Verfahren nicht ab, sondern hebt das erstinstanzliche Urteil, soweit es nicht bereits in Rechtskraft erwachsen ist, auf und weist die Sache unter bestimmten Vorgaben in materieller und verfahrensrechtlicher Hinsicht zu weiteren Beweiserhebungen und zu neuer Entscheidung an die Vorinstanz zurück. Er erweist sich damit als Zwischenentscheid im Sinne von Art. 93 BGG ( BGE 134 II 124 E. 1.3 S. 127 mit Hinweisen).</w:t>
      </w:r>
    </w:p>
    <w:p>
      <w:r>
        <w:rPr>
          <w:b/>
        </w:rPr>
        <w:t>E. 1.2</w:t>
      </w:r>
    </w:p>
    <w:p>
      <w:r>
        <w:t>Da es sich nicht um einen Zwischenentscheid über die Zuständigkeit oder über Ausstandsbegehren handelt, ist die Beschwerde nur zulässig, wenn eine der folgenden Voraussetzungen erfüllt ist: Erstens, wenn der Entscheid einen nicht wieder gutzumachenden Nachteil bewirken kann ( Art. 93 Abs. 1 lit. a BGG ). Diese Voraussetzung ist vorliegend offensichtlich nicht gegeben und wird von der Beschwerdeführerin auch nicht geltend gemacht. Zweitens, wenn die Gutheissung der Beschwerde sofort einen Endentscheid herbeiführen und damit einen bedeutenden Aufwand an Zeit und Kosten für ein weitläufiges Beweisverfahren ersparen würde ( Art. 93 Abs. 1 lit. b BGG ). Diese Voraussetzung übernimmt die Vorschrift von Art. 50 OG (Botschaft vom 28. Februar 2001 zur Totalrevision der Bundesrechtspflege, BBl 2001 4334 Ziff. 4.1.4.1). Die diesbezügliche Rechtsprechung behält demnach Geltung. Danach bildet die selbständige Anfechtbarkeit von Zwischenentscheiden aus prozessökonomischen Gründen eine Ausnahmebestimmung, die restriktiv auszulegen ist. Dies umso mehr, als die Parteien keiner Rechte verlustig gehen, wenn sie einen Zwischenentscheid nicht selbständig anfechten, können sie ihn doch mit dem Endentscheid anfechten, soweit er sich auf dessen Inhalt auswirkt ( Art. 93 Abs. 3 BGG ). Das Bundesgericht prüft nach freiem Ermessen, ob die Voraussetzung von Art. 93 Abs. 1 lit. b BGG erfüllt ist. Auf eine Beschwerde ist von vornherein nicht einzutreten, wenn der Beschwerdeführer überhaupt nicht dartut, weshalb die Voraussetzung erfüllt sei und die Eintretensfrage schlechthin ignoriert ( BGE 118 II 91 E. 1a S. 92; Urteil des Bundesgerichts 4A_35/2007 vom 2. Mai 2007 E. 2).</w:t>
      </w:r>
    </w:p>
    <w:p>
      <w:r>
        <w:rPr>
          <w:b/>
        </w:rPr>
        <w:t>E. 1.3</w:t>
      </w:r>
    </w:p>
    <w:p>
      <w:r>
        <w:t>Der Beschwerdeführer ist der Auffassung, wegen der Bindung des erstinstanzlichen Gerichts an den Rückweisungsentscheid des Obergerichts handle es sich dabei um einen letztinstanzlichen kantonalen Endentscheid. Nach der bundesgerichtlichen Rechtsprechung kann in der Tat in bestimmten Ausnahmefällen ein Rückweisungsentscheid als Endentscheid angefochten werden. Voraussetzung ist aber jedenfalls, dass die Rückweisung allein der (rechnerischen) Umsetzung des oberinstanzlich Angeordneten dient ( BGE 134 II 124 E. 1.3 S. 127 mit Hinweisen). Dies ist hier nicht der Fall. Das Obergericht hat lediglich einzelne Posten, aus denen sich die eingeklagte Summe ergibt, abschliessend beurteilt, und bezüglich der übrigen die Durchführung eines Beweisverfahrens angeordnet, so dass es nicht nur um die rechnerische Umsetzung des oberinstanzlich Angeordneten geht. Zufolge der irrigen Qualifikation des angefochtenen Entscheides als Endentscheid im Sinne von Art. 90 BGG äussert sich der Beschwerdeführer mit keinem Wort zum Vorliegen der Eintretensvoraussetzungen, die für die Zulässigkeit der Anfechtung eines Zwischenentscheides erfüllt sein müssen. Auf die Beschwerde kann daher nicht eingetreten werden.</w:t>
      </w:r>
    </w:p>
    <w:p>
      <w:r>
        <w:rPr>
          <w:b/>
        </w:rPr>
        <w:t>E. 2</w:t>
      </w:r>
    </w:p>
    <w:p>
      <w:r>
        <w:t>Bei diesem Verfahrensausgang wird der Beschwerdeführer kosten- und entschädigungspflichtig (Art. 66 Abs. 1 und 67 Abs. 2 BGG). Dem relativ geringen Aufwand des Gerichts kann bei der Festsetzung der Gerichtsgebühr Rechnung getragen werden.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