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425/2021 vom 23. August 2022</w:t>
      </w:r>
    </w:p>
    <w:p>
      <w:r>
        <w:t>Bundesgericht, 2022-08-23, FR</w:t>
      </w:r>
    </w:p>
    <w:p>
      <w:r>
        <w:rPr>
          <w:b/>
        </w:rPr>
        <w:t xml:space="preserve">Quelle: </w:t>
      </w:r>
      <w:r>
        <w:t>https://mcp.opencaselaw.ch/entscheid/bger_4A_425_2021</w:t>
      </w:r>
    </w:p>
    <w:p>
      <w:r>
        <w:t>FR: TF 4A 425/2021 du 23 août 2022</w:t>
      </w:r>
    </w:p>
    <w:p>
      <w:r>
        <w:t>IT: TF 4A 425/2021 del 23 agosto 2022</w:t>
      </w:r>
    </w:p>
    <w:p>
      <w:pPr>
        <w:pStyle w:val="Heading2"/>
      </w:pPr>
      <w:r>
        <w:t>Regeste</w:t>
      </w:r>
    </w:p>
    <w:p>
      <w:r>
        <w:t>ordre de paiement envoyé par la poste, intercepté par des escrocs et falsifié; clause de transfert de risque; faute grave de la banque, | Droit des contrats</w:t>
      </w:r>
    </w:p>
    <w:p>
      <w:pPr>
        <w:pStyle w:val="Heading2"/>
      </w:pPr>
      <w:r>
        <w:t>Erwägungen</w:t>
      </w:r>
    </w:p>
    <w:p>
      <w:r>
        <w:rPr>
          <w:b/>
        </w:rPr>
        <w:t>E. 1</w:t>
      </w:r>
    </w:p>
    <w:p>
      <w:r>
        <w:t>Interjeté en temps utile ( art. 100 al. 1 LTF ), compte tenu des féries d'été ( art. 46 al. 1 let. b LTF ), dont le dernier jour est venu à échéance un dimanche ( art. 45 al. 1 LTF ), par la défenderesse qui a succombé dans ses conclusions libératoires ( art. 76 al. 1 LTF ), contre une décision finale ( art. 90 LTF ) prise sur appel par le tribunal supérieur du canton de Genève ( art. 75 LTF ), dans une affaire civile ( art. 72 al. 1 LTF ), dont la valeur litigieuse est supérieure à 30'000 fr. ( art. 74 al. 1 let. b LTF ), le recours en matière civile est en principe recevable.</w:t>
      </w:r>
    </w:p>
    <w:p>
      <w:r>
        <w:rPr>
          <w:b/>
        </w:rPr>
        <w:t>E. 2</w:t>
      </w:r>
    </w:p>
    <w:p>
      <w:r>
        <w:t>Le litige revêt un caractère international du seul fait du domicile à l'étranger des héritiers. Il n'est toutefois pas contesté que le droit suisse est applicable et que les tribunaux genevois sont compétents.</w:t>
      </w:r>
    </w:p>
    <w:p>
      <w:r>
        <w:rPr>
          <w:b/>
        </w:rPr>
        <w:t>E. 3</w:t>
      </w:r>
    </w:p>
    <w:p>
      <w:r>
        <w:t>Le Tribunal fédéral applique en principe d'office le droit ( art. 106 al. 1 LTF ) à l'état de fait constaté dans l'arrêt cantonal.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133 III 545 consid. 2.2; arrêt 4A_399/2008 du 12 novembre 2008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 Lorsque la cour cantonale apprécie librement, selon les règles du droit et de l'équité ( art. 4 CC ), le degré de gravité de la faute, le Tribunal fédéral ne revoit qu'avec retenue la décision d'équité ainsi prise.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inéquité choquante ( ATF 142 III 336 consid. 5.3.2; 136 III 65 consid. 2.5; 130 III 28 consid. 4.1 et les arrêts cités). Il convient de préciser que, de manière générale, les éventuelles comparaisons avec des décisions judiciaires rendues dans des causes que les parties tiennent pour similaires à la leur doivent être appréciées avec circonspection (arrêt 4A_404/2014 du 17 décembre 2014 consid. 4.1).</w:t>
      </w:r>
    </w:p>
    <w:p>
      <w:r>
        <w:rPr>
          <w:b/>
        </w:rPr>
        <w:t>E. 4</w:t>
      </w:r>
    </w:p>
    <w:p>
      <w:r>
        <w:t>Il n'est pas contesté que les parties étaient liées par un contrat de compte courant et un contrat de giro bancaire et que, selon les Conditions générales de la banque qui y étaient intégrées, les parties étaient convenues de deux clauses de transfert de risque sur la tête du client, sauf faute grave de la banque, soit, la première, pour les cas de défauts de légitimation et de falsifications non décelées (art. 1 al. 3) et, la seconde, pour l'utilisation notamment de services postaux, de téléphone et de courrier électronique (art. 3) (sur ces clauses de transfert de risque, cf. ATF 146 III 326 consid. 6; arrêt 4A_161/2020 du 6 juillet 2020 consid. 5). Faute de grief, la Cour de céans n'examinera pas si les notions d'absence de diligence usuelle, s'agissant de la vérification de la légitimation du donneur d'ordre (art. 1 al. 3), et de faute grave, en ce qui concerne les ordres envoyés notamment par la poste (art. 3), sont identiques et s'en tiendra à l'examen de la faute grave de la banque, que la cour cantonale a admise et qui est remise en cause par la banque recourante.</w:t>
      </w:r>
    </w:p>
    <w:p>
      <w:r>
        <w:rPr>
          <w:b/>
        </w:rPr>
        <w:t>E. 4.1</w:t>
      </w:r>
    </w:p>
    <w:p>
      <w:r>
        <w:t>Constitue une faute grave la violation des règles élémentaires de prudence dont le respect se serait imposé à toute personne raisonnable placée dans les mêmes circonstances ( ATF 146 III 326 consid. 6.2; 128 III 76 consid. 1b; 119 II 443 consid. 2a; arrêts 4A_161/2020 précité consid. 5.1.2; 4A_386/2016 du 5 décembre 2016 consid. 2.2.5; 4A_398/2009 du 23 février 2010 consid. 6.1). Commet, en revanche, une négligence légère la personne qui ne fait pas preuve de toute la prudence qu'on aurait pu attendre d'elle, sans toutefois que sa faute - non excusable - puisse être considérée comme une violation des règles de prudence les plus élémentaires ( ATF 146 III 326 consid. 6.2; arrêt 4A_386/2016 précité consid. 2.2.5 et les références citées). Le juge cantonal apprécie ( art. 4 CC ) les agissements de la banque en se référant à la diligence que l'autre partie était en droit d'attendre, en vertu, notamment, des clauses du contrat et des usages professionnels ( ATF 146 III 326 consid. 6.2; arrêts 4A_386/2016 précité consid. 2.2.5; 4A_438/2007 du 29 janvier 2008 consid. 5.3). Le fardeau de la preuve de la faute grave de la banque incombe au demandeur ( art. 8 CC ). Le Tribunal fédéral ne revoit qu'avec retenue l'appréciation de la cour cantonale (cf. consid. 3 ci-dessus).</w:t>
      </w:r>
    </w:p>
    <w:p>
      <w:r>
        <w:rPr>
          <w:b/>
        </w:rPr>
        <w:t>E. 4.2</w:t>
      </w:r>
    </w:p>
    <w:p>
      <w:r>
        <w:t>La cour cantonale a tout d'abord examiné deux instructions, soit celles du 8 décembre 2016 et du 12 avril 2017, qui avaient été exécutées sur la base d'un entretien par téléphone et d'une confirmation par courriel, et pour lesquelles une instruction écrite par courrier postal n'avait pas été demandée par la banque. La cour cantonale a estimé que la banque pouvait s'en contenter, puisque la première avait pour objet le paiement d'impôts successoraux et que la seconde avait fait l'objet de contacts répétés avec les héritiers et qu'il s'agissait de transferts internes à la banque. En ce qui concerne l'instruction litigieuse du 30 avril 2017, qui a été précédée d'un entretien téléphonique avec l'un des héritiers et qui a fait l'objet d'un courriel avec copie scannée de l'instruction, la cour cantonale a estimé que la banque pouvait exiger une confirmation écrite par courrier postal, mais qu'elle devait en vérifier l'authenticité avec la diligence requise par les circonstances. Elle a retenu une faute grave de la banque, pour les deux motifs suivants:</w:t>
      </w:r>
    </w:p>
    <w:p>
      <w:r>
        <w:rPr>
          <w:b/>
        </w:rPr>
        <w:t>E. 4.2.1</w:t>
      </w:r>
    </w:p>
    <w:p>
      <w:r>
        <w:t>Premièrement, elle a considéré que l'instruction falsifiée reçue par courrier postal n'avait pas été vérifiée et visée par le gestionnaire du compte lui-même, ce que celui-ci a admis, ajoutant qu'il déléguait cette tâche à ses assistantes. Or, selon les directives internes de la banque et les déclarations du directeur et de la sous-directrice de la banque, interrogés en audience, la vérification des signatures relève de la responsabilité du gestionnaire du compte. La cour cantonale a donc considéré que la vérification n'avait pas été faite par le gestionnaire, et ce en violation des directives internes de la banque en la matière (" Prérequis anti-fraude et gestion des alertes en cas de fraude supposée ou avérée ").</w:t>
      </w:r>
    </w:p>
    <w:p>
      <w:r>
        <w:rPr>
          <w:b/>
        </w:rPr>
        <w:t>E. 4.2.2</w:t>
      </w:r>
    </w:p>
    <w:p>
      <w:r>
        <w:t>Secondement, la cour cantonale a considéré que l'on pouvait attendre de la banque qu'elle se montre particulièrement attentive avant d'exécuter l'ordre reçu par pli postal, que celle-ci admettait d'ailleurs qu'un ordre ne devait pas être exécuté sans une vérification sérieuse et que, lorsque l'ordre avait été précédé d'un courriel, elle ne pouvait pas, sans violer les règles de la bonne foi, ne pas comparer l'instruction (scannée) reçue par courriel avec l'instruction (écrite et signée) reçue par courrier postal. Une telle comparaison s'imposait pour écarter un risque de fraude, voire même simplement pour prévenir une erreur. Or, la comparaison de l'ordre (scanné) transmis par courriel avec celui (écrit) reçu par pli postal suffisait pour éveiller de sérieux doutes pour deux raisons: en effet, toute personne raisonnable, d'autant plus lorsqu'il s'agit d'un employé de banque, aurait au premier coup d'oeil constaté (1) que les coordonnées IBAN et BIC n'étaient pas les mêmes dans les deux ordres et (2) qu'il y avait eu une correction à la main dans l'ordre scanné (le prénom " D.________ ", mentionné deux fois, avait été tracé et remplacé à la main par " E.________ "), alors qu'elle ne figurait pas dans l'ordre écrit reçu par courrier postal (lequel avait été corrigé à la machine). Ces divergences auraient dû inciter le gestionnaire à s'assurer de l'authenticité de l'ordre à exécuter et à procéder à des vérifications supplémentaires, conformément aux directives internes de la banque, en contactant C.A.________ ou un autre héritier, lesquels étaient aisément joignables par téléphone. Le fait qu'il y ait eu un entretien téléphonique sur un autre objet le jour de l'exécution de l'instruction et que les deux ordres soient similaires à certains égards ne change rien à la gravité de la faute. Effectuer une comparaison était compatible avec la diligence usuelle que la banque devait observer. La cour cantonale en a conclu que la banque n'avait pas respecté les règles élémentaires de prudence et que sa faute devait être qualifiée de grave.</w:t>
      </w:r>
    </w:p>
    <w:p>
      <w:r>
        <w:rPr>
          <w:b/>
        </w:rPr>
        <w:t>E. 4.3</w:t>
      </w:r>
    </w:p>
    <w:p>
      <w:r>
        <w:t>La recourante ne démontre pas en quoi cette motivation, rendue en équité ( art. 4 CC ) par la cour cantonale, violerait les principes dégagés par la jurisprudence quant au contrôle auquel peut et doit procéder le Tribunal fédéral.</w:t>
      </w:r>
    </w:p>
    <w:p>
      <w:r>
        <w:rPr>
          <w:b/>
        </w:rPr>
        <w:t>E. 4.3.1</w:t>
      </w:r>
    </w:p>
    <w:p>
      <w:r>
        <w:t>En ce qui concerne le premier motif de la cour cantonale, la recourante ne conteste ni que le gestionnaire n'a pas vérifié lui-même l'instruction, ni qu'il n'a pas apposé son visa sur l'ordre, ni que la vérification a effectivement été effectuée par l'assistante de celui-ci. Elle soutient que, même si la vérification avait été faite par le gestionnaire, cela n'aurait rien changé car la falsification des signatures n'était pas détectable et, partant, que le non-respect des directives internes est sans rapport de causalité avec la survenance du dommage. Ce faisant, la recourante ne s'en prend pas à la motivation de la cour cantonale, de sorte que son grief est irrecevable. En effet, alors que la cour cantonale reproche au gestionnaire de n'avoir pas comparé les deux ordres - scanné et écrit - qu'il avait reçus, la divergence des coordonnées IBAN et BIC et la rature/correction de l'un des prénoms des héritiers sautant aux yeux, la recourante se focalise sur les signatures dont la falsification n'était pas décelable en se référant à divers arrêts. D'ailleurs, la cour cantonale elle-même a admis que " les signatures [...] ne différaient pas grossièrement entre elles [et que cela] ne change rien à la gravité de la faute ". Au demeurant, le directeur et la sous-directrice de la banque, interrogés en audience, ont affirmé que la responsabilité de la vérification des ordres incombait au gestionnaire du compte (ce que la recourante ne taxe pas d'arbitraire), dont la banque répond en vertu de l' art. 101 CO , voire, s'il s'agit d'un organe de la banque, de l' art. 55 CC (arrêt 4A_479/2020 du 30 août 2022 consid. 4.2).</w:t>
      </w:r>
    </w:p>
    <w:p>
      <w:r>
        <w:rPr>
          <w:b/>
        </w:rPr>
        <w:t>E. 4.3.2</w:t>
      </w:r>
    </w:p>
    <w:p>
      <w:r>
        <w:t>À l'encontre du second motif de la cour cantonale, la banque recourante se limite à affirmer que l'ordre scanné envoyé par courriel, dont l'expéditeur C.A.________ précisait qu'il faisait l'objet d'un envoi postal du même jour, ne pouvait pas être exécuté et n'avait donc pas à être examiné, que seul l'ordre écrit envoyé par voie postale devait l'être et qu'une comparaison entre les deux n'avait pas à être effectuée. Ce faisant, elle ne démontre pas en quoi l'appréciation de la faute du gestionnaire par la cour cantonale, qui a estimé que toute personne raisonnable, a fortiori un employé de banque, placée dans les mêmes circonstances, utiliserait toutes les informations à sa disposition pour s'assurer qu'elle effectue le virement en faveur du compte effectif de la notaire, ne devrait pas être suivie. Cette appréciation doit être confirmée: il est connu que des fraudes se produisent lors d'envoi par courriel, mais aussi par courrier postal. Comparer les deux ordres - scanné et écrit - relève de la prudence élémentaire, d'autant plus lorsque l'ordre de virement porte sur un montant important. La recourante ne conteste d'ailleurs pas qu'il était manifeste que " le numéro IBAN avait été remplacé par un autre ", ce sur quoi doit porter la vérification de la banque. Le fait qu'un entretien téléphonique avec les héritiers ait eu lieu le jour de l'exécution de l'instruction n'y change rien, dès lors que l'entretien n'a pas porté sur les coordonnées IBAN; il en va de même du fait que la banque a décelé la falsification de l'ordre postérieur reçu le 16 mai 2017.</w:t>
      </w:r>
    </w:p>
    <w:p>
      <w:r>
        <w:rPr>
          <w:b/>
        </w:rPr>
        <w:t>E. 4.3.3</w:t>
      </w:r>
    </w:p>
    <w:p>
      <w:r>
        <w:t>Enfin, aucune circonstance, ni d'ailleurs aucun grief, ne permettent d'examiner si le client a commis une faute concomitante au sens de l'art. 1 al. 2 des Conditions générales, évoqué par la cour cantonale.</w:t>
      </w:r>
    </w:p>
    <w:p>
      <w:r>
        <w:rPr>
          <w:b/>
        </w:rPr>
        <w:t>E. 4.3.4</w:t>
      </w:r>
    </w:p>
    <w:p>
      <w:r>
        <w:t>On peut également se dispenser d'examiner les griefs des intimés qui, à titre subsidiaire, invoquent que, selon la convention des parties, l'ordre scanné aurait dû être exécuté. On peut également renoncer à examiner, notamment, si la falsification des signatures était grossière ou non, si l'assistante a effectivement procédé à leur vérification et si une assistante dispose des connaissances suffisantes à cet effet.</w:t>
      </w:r>
    </w:p>
    <w:p>
      <w:r>
        <w:rPr>
          <w:b/>
        </w:rPr>
        <w:t>E. 5</w:t>
      </w:r>
    </w:p>
    <w:p>
      <w:r>
        <w:t>Au vu de ce qui précède, le recours doit être rejeté, dans la mesure où il est recevable, et les frais judiciaires et les dépens de la procédure fédérale mis à la charge de la recourante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