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424/2024 vom 10. Januar 2025</w:t>
      </w:r>
    </w:p>
    <w:p>
      <w:r>
        <w:t>Bundesgericht, 2025-01-10, DE</w:t>
      </w:r>
    </w:p>
    <w:p>
      <w:r>
        <w:rPr>
          <w:b/>
        </w:rPr>
        <w:t xml:space="preserve">Quelle: </w:t>
      </w:r>
      <w:r>
        <w:t>https://mcp.opencaselaw.ch/entscheid/bger_4A_424_2024</w:t>
      </w:r>
    </w:p>
    <w:p>
      <w:r>
        <w:t>FR: TF 4A 424/2024 du 10 janvier 2025</w:t>
      </w:r>
    </w:p>
    <w:p>
      <w:r>
        <w:t>IT: TF 4A 424/2024 del 10 gennaio 2025</w:t>
      </w:r>
    </w:p>
    <w:p>
      <w:pPr>
        <w:pStyle w:val="Heading2"/>
      </w:pPr>
      <w:r>
        <w:t>Regeste</w:t>
      </w:r>
    </w:p>
    <w:p>
      <w:r>
        <w:t>Markenrecht,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BGG ) und richtet sich gegen den Endentscheid ( Art. 90 BGG ) eines oberen kantonalen Gerichts, das in Anwendung von Art. 5 Abs. 1 lit. a ZPO als einzige kantonale Instanz entschieden hat ( Art. 75 Abs. 2 lit. a BGG ). Die Beschwerdeführerin ist mit ihren Anträgen teilweise unterlegen ( Art. 76 Abs. 1 BGG ), ein Streitwert ist nicht verlangt ( Art. 74 Abs. 2 lit. b BGG ) und die Beschwerdefrist ist eingehalten ( Art. 100 Abs. 1 BGG ).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Stützt sich der angefochtene Entscheid auf mehrere selbstständige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wirft der Vorinstanz in materieller Hinsicht eine Verletzung von Art. 2 lit. a MSchG vor, indem sie den Gemeingutcharakter der Marke CH 647 612 "SCHNITTSCHUTZ" für Wannendichtbänder und Installationsdienstleistungen verneinte.</w:t>
      </w:r>
    </w:p>
    <w:p>
      <w:r>
        <w:rPr>
          <w:b/>
        </w:rPr>
        <w:t>E. 2.1</w:t>
      </w:r>
    </w:p>
    <w:p>
      <w:r>
        <w:t>Die Vorinstanz erwog zum Gemeingutcharakter der Marke CH 647 612, die Beschwerdeführerin hätte substanziiert aufzeigen müssen, weshalb es der Bezeichnung "Schnittschutz" bereits im Zeitpunkt der Markenanmeldung und der Registereintragung im Jahr 2013 an der erforderlichen Unterscheidungskraft gemangelt haben soll, und hätte dafür (im Bestreitungsfall) die notwendigen Beweise zu erbringen gehabt. Dieser Obliegenheit sei sie jedoch - mit Ausnahme des Verweises auf die Patentanmeldung der D.________ AG und den Aufsatz von E.________ - nicht zureichend nachgekommen. Die blosse Berufung auf eine angebliche Gerichtsnotorietät helfe ihr nicht weiter: So sei es nicht ersichtlich, inwiefern und weshalb es gerichtlichen Instanzen allgemein bekannt sein soll, dass der Begriff "Schnittschutz" im Jahr 2013 eine für Wannendichtbänder vorteilhafte Eigenschaft beschrieben haben soll. Allgemein betrachtet handle es sich bei der Bezeichnung "Schnittschutz" nicht um eine Waren- oder Gattungsbezeichnung im Sanitärbereich, was auch die Beschwerdeführerin nicht geltend mache. Das Zeichen erweise sich als mehrdeutig. So sei namentlich denkbar, dass ein Montageband, das die Bezeichnung "Schnittschutz" trage, (nur) als Schnittschutz für die eigentlichen Dichtbänder diene. Ebenfalls naheliegend wäre, dass das Dichtband zusammen mit einem "Schnittschutz" ausgeliefert werde, um einen Einbaugegenstand, Armaturen oder Platten beim Anbringen von Zargenbändern vor Schnittbeschädigung zu bewahren. Nicht offen auf der Hand liege hingegen die eigentlich zutreffende Eigenschaft, wonach das Dichtband in einem gewissen Bereich eine Metallverstärkung aufweise, die es selbst davor bewahren soll, dass es - in ferner Zukunft - bei einer Nasszellensanierung aus Versehen durchtrennt werde. Mit der Eigenschaft eines Dicht- oder Montagebands, das einer versehentlichen Durchtrennung mit einem Messer im Rahmen einer Renovation einen angemessenen Widerstand entgegensetzen solle, seien vielmehr Begriffe wie "Schnittfestigkeit", "Schnittwiderstand" oder "Schnittsicherheit" zu assoziieren. Denn der Zweck eines Dichtbands bestehe nicht darin, andere Bauelemente (oder sich selbst) vor Beschädigungen durch Schneidewerkzeuge zu bewahren, sondern es solle vielmehr das Einsickern von Wasser in Hohl- und Zwischenräume in Nasszellen verhindern. Während bei "Schnittschutz" nicht eindeutig feststehe, welche Eigenschaft zum Ausdruck gebracht werden solle, lasse sich namentlich "Schnittfestigkeit" als Attribut nur dahingehend interpretieren, dass das Band nicht (leicht) "durchschnitten" werden könne. Die Bezeichnung "Schnittschutz" gebe somit nicht offen oder leicht erkennbar Auskunft über klar definierte Eigenschaften und Merkmale des Wannendichtbands. Sie zeige weder offensichtlich auf, wie das Wannendichtband konkret beschaffen oder ausgestattet sei, noch welche Funktion oder Zweckbestimmung es erfülle. Vielmehr lasse das Zeichen mehrfache Interpretationsmöglichkeiten zu, womit sich sein Sinngehalt als unbestimmt erweise, weshalb es auch unter diesem Blickwinkel als minimal unterscheidungskräftig zum Markenschutz zuzulassen sei. Die Vorinstanz liess auch den von der Beschwerdeführerin erhobenen Einwand nicht gelten, wonach das Patent der D.________ AG, das sich auf einen "Montagesatz zum Erzielen einer Dichtwirkung" bezieht, gegen die Unterscheidungskraft der Marke "SCHNITTSCHUTZ" sprechen soll. Sie wies in diesem Zusammenhang darauf hin, dass sich die Unterscheidungskraft einer Marke nach dem Verkehrskreis des durchschnittlichen Abnehmers, konkret anhand der Kenntnisse eines durchschnittlich ausgebildeten Sanitärinstallateurs beurteile. Den Nachweis für das Zeichenverständnis des relevanten Verkehrskreises und die behauptete fehlende Unterscheidungskraft im Jahr 2013 vermöge die Beschwerdeführerin mithin auch mit der Patentanmeldung der D.________ AG nicht zu erbringen. Die Vorinstanz liess schliesslich auch die auf den Aufsatz von E.________ aus dem Jahr 2012 gestützten Vorbringen der Beschwerdeführerin zum Verständnis der Bezeichnung "Schnittschutz" nicht gelten, zumal der Autor nicht dem vorliegend relevanten Verkehrskreis der Sanitärinstallateure angehört.</w:t>
      </w:r>
    </w:p>
    <w:p>
      <w:r>
        <w:rPr>
          <w:b/>
        </w:rPr>
        <w:t>E. 2.2</w:t>
      </w:r>
    </w:p>
    <w:p>
      <w:r>
        <w:t>Nach Art. 2 lit.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 BGE 148 III 257 E. 6.2.2; 145 III 178 E. 2.3.1; 143 III 127 E. 3.3.2; je mit Hinweisen). Nicht schutzfähig sind nach bundesgerichtlicher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 BGE 148 III 257 E. 6.2.2; 145 III 178 E. 2.3.1; 135 III 359 E. 2.5.5). Der beschreibende Charakter solcher Hinweise muss vom angesprochenen Publikum ohne besondere Denkarbeit und ohne Fantasieaufwand unmittelbar erkennbar sein. Dabei genügt, dass dies in einem Sprachgebiet der Schweiz zutrifft ( BGE 148 III 257 E. 6.2.2; 145 III 178 E. 2.3.1; 135 III 359 E. 2.5.5). Ob ein Zeichen als Marke in Frage kommt, beurteilt sich nach dem Gesamteindruck, den es bei den massgebenden Adressaten in der Erinnerung hinterlässt ( BGE 148 III 257 E. 6.2.2; 145 III 178 E. 2.3.1; 143 III 127 E. 3.3.2). Ob diese ein Zeichen für die beanspruchten Produkte als Hinweis auf ein Unternehmen wahrnehmen, ist dabei vor dem Hintergrund der gesamten Umstände zu beurteilen ( BGE 148 III 257 E. 6.2.2; 145 III 178 E. 2.3.1; 143 III 127 E. 3.3.2). Das Bundesgericht prüft grundsätzlich als Rechtsfrage frei, wie der massgebende Adressatenkreis für die beanspruchten Waren oder Dienstleistungen abzugrenzen ist und - bei Gütern des allgemeinen Bedarfs - wie die Adressaten aufgrund der erwarteten Aufmerksamkeit das Zeichen wahrnehmen ( BGE 145 III 178 E. 2.3.1; 143 III 127 E. 3.3.2; 139 III 176 E. 2; 137 III 403 E. 3.3.2). Hingegen handelt es sich um eine Tatfrage, wenn das Branchenverständnis spezifischer Verkehrskreise in Frage steht (vgl. BGE 135 III 446 E. 6.4; 128 III 401 E. 5; 126 III 315 E. 4b; 96 II 257 E. 3a).</w:t>
      </w:r>
    </w:p>
    <w:p>
      <w:r>
        <w:rPr>
          <w:b/>
        </w:rPr>
        <w:t>E. 2.3</w:t>
      </w:r>
    </w:p>
    <w:p>
      <w:r>
        <w:t>Die Beschwerdeführerin beanstandet die vorinstanzliche Erwägung nicht, wonach es sich bei den Abnehmern von Wannendichtbändern und entsprechenden Dienstleistungen um Sanitärinstallateure handelt. Massgebend für die Beurteilung der Unterscheidungskraft des beanspruchten Zeichens ist demnach nicht das Verständnis des allgemeinen Publikums; vielmehr steht das Branchenverständnis eines spezifischen Verkehrskreises in Frage. Die Beschwerdeführerin stellt auch nicht in Abrede, dass es ihr oblag, das Verständnis der Sanitärinstallateure als Tatfrage zu beweisen, zumal sie daraus zu ihren Gunsten die Nichtigkeit der strittigen Marke ableiten will. Indem die Beschwerdeführerin aus einer im angefochtenen Entscheid wiedergegebenen Werbeaussage der mit der Beschwerdegegnerin verbundenen C.________ ("Dabei bewirbt die C.________ ihre Produkte unter anderem damit, dass sie einen Schutz gegen versehentliches Durchtrennen des Zargenbands mit einem Messer aufweisen") ableiten will, der Schutz von Wannendichtbändern gegen Durchschneiden sei "eine für diese Produkte und entsprechende Dienstleistungen erwünschte und somit beschreibende und zudem anpreisende Eigenschaft im Sinne der Rechtsprechung zum Gemeingut nach Art. 2 lit. a MSchG ", vermag sie keine Bundesrechtsverletzung aufzuzeigen. Insbesondere weist sie die vorinstanzlichen Feststellungen zum massgebenden Branchenverständnis in Bezug auf die Bezeichnung "Schnittschutz" nicht als willkürlich aus. Ebenso wenig zeigt sie eine Verletzung von Art. 2 lit. a MSchG auf, indem sie ohne Auseinandersetzung mit den konkreten Erwägungen im angefochtenen Entscheid vorbringt, für Wannendichtbänder und Installationsdienstleistungen gehöre die Bezeichnung "Schnittschutz" nach dem allgemeinen Sprachverständnis zum Gemeingut. Im Weiteren vermag die Beschwerdeführerin keine Gehörsverletzung ( Art. 29 Abs. 2 BV ), Aktenwidrigkeit oder Willkür ( Art. 9 BV ) aufzuzeigen, indem sie gestützt auf die im Patent CH xxx der Beschwerdegegnerin erwähnte Bezeichnung "Schnittschutz" behauptet, daraus lasse sich auf den beschreibenden Charakter der Bezeichnung schliessen. Ohnehin stösst das Vorbringen von vornherein ins Leere, zumal sich die in der Beschwerde zitierte Passage gar nicht aus dem als Beilage 8 eingereichten Swissregauszug vom 26. Januar 2023 ergibt. Der Vorinstanz kann auch keine Missachtung der Eventualmaxime vorgeworfen werden, wenn sie bei der Beurteilung des allgemeinen Wortsinns von "Schnittschutz" auch andere Begriffe wie "Schnittfestigkeit", "Schnittwiderstand" oder "Schnittsicherheit" berücksichtigte, ohne dass die Beschwerdegegnerin diese eigens behauptet oder bewiesen hätte. Abgesehen davon sind die Ausführungen der Beschwerdeführerin widersprüchlich, zumal sie selber vorbringt, die von ihr vertretene Auffassung zum allgemeinen Wortsinn müsse nach Art. 151 ZPO weder behauptet noch bewiesen werden. Insgesamt vermag die Beschwerdeführerin nicht aufzuzeigen, dass die Feststellungen im angefochtenen Entscheid zum Branchenverständnis des massgebenden Verkehrskreises der Sanitärinstallateure gegen Bundesrecht, geschweige denn verfassungsmässige Rechte verstossen würde. Damit bleibt es bei der vorinstanzlichen (Eventual-) Begründung, wonach die Abnehmer von Wannendichtbändern und entsprechenden Dienstleistungen die Bezeichnung "Schnittschutz" nicht ohne besondere Denkarbeit und ohne Fantasieaufwand unmittelbar als beschreibend auffassten, womit sie als minimal unterscheidungskräftig zum Markenschutz zuzulassen sei.</w:t>
      </w:r>
    </w:p>
    <w:p>
      <w:r>
        <w:rPr>
          <w:b/>
        </w:rPr>
        <w:t>E. 2.4</w:t>
      </w:r>
    </w:p>
    <w:p>
      <w:r>
        <w:t>Damit braucht auf die weiteren Vorbringen in der Beschwerde zur Verkehrsdurchsetzung nicht mehr eingegangen zu werden. Hinsichtlich der von der Beschwerdeführerin ins Feld geführten absoluten Freihaltebedürftigkeit der Bezeichnung "Schnittschutz" verkennt sie, dass dieses Argument nicht nur im Fall einer Verkehrsdurchsetzung, sondern auch dann ins Spiel kommt, wenn die originäre Unterscheidungskraft bejaht wird. Daher wären entsprechende Behauptungen bereits in der Klage oder in der Replik vorzutragen gewesen, bevor die Beschwerdegegnerin in ihrer Duplik die Verkehrsdurchsetzung des Zeichens behauptete. Die in der Beschwerde erhobene Rüge, ihre Vorbringen seien - wie der Einwand gegen die erst in der Duplik behauptete Verkehrsdurchsetzung (die im bundesgerichtlichen Verfahren jedoch nicht mehr zur Diskussion steht) - rechtzeitig erfolgt, ist demnach unbegründet. Abgesehen davon geht die Beschwerdeführerin nicht hinreichend auf die vorinstanzliche Eventualbegründung ein, wonach sie sich mit dem angeblichen Freihaltebedürfnis unzureichend auseinandergesetzt habe.</w:t>
      </w:r>
    </w:p>
    <w:p>
      <w:r>
        <w:rPr>
          <w:b/>
        </w:rPr>
        <w:t>E. 2.5</w:t>
      </w:r>
    </w:p>
    <w:p>
      <w:r>
        <w:t>Damit bleibt es bei der selbständigen materiellen (Eventual-) Begründung im angefochtenen Entscheid, dass das Zeichen "Schnittschutz" als minimal unterscheidungskräftig zum Markenschutz zuzulassen sei und es braucht auf die weitere (formelle) Begründung, es mangle der Beschwerdeführerin am erforderlichen Rechtsschutzinteresse, nicht mehr eingegangen zu werden.</w:t>
      </w:r>
    </w:p>
    <w:p>
      <w:r>
        <w:rPr>
          <w:b/>
        </w:rPr>
        <w:t>E. 3</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