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422/2011 vom 3. Januar 2012</w:t>
      </w:r>
    </w:p>
    <w:p>
      <w:r>
        <w:t>Bundesgericht, 2012-01-03, FR</w:t>
      </w:r>
    </w:p>
    <w:p>
      <w:r>
        <w:rPr>
          <w:b/>
        </w:rPr>
        <w:t xml:space="preserve">Quelle: </w:t>
      </w:r>
      <w:r>
        <w:t>https://mcp.opencaselaw.ch/entscheid/bger_4A_422_2011</w:t>
      </w:r>
    </w:p>
    <w:p>
      <w:r>
        <w:t>FR: TF 4A 422/2011 du 3 janvier 2012</w:t>
      </w:r>
    </w:p>
    <w:p>
      <w:r>
        <w:t>IT: TF 4A 422/2011 del 3 gennaio 2012</w:t>
      </w:r>
    </w:p>
    <w:p>
      <w:pPr>
        <w:pStyle w:val="Heading2"/>
      </w:pPr>
      <w:r>
        <w:t>Regeste</w:t>
      </w:r>
    </w:p>
    <w:p>
      <w:r>
        <w:t>conflit de travail | Droit des contrats</w:t>
      </w:r>
    </w:p>
    <w:p>
      <w:pPr>
        <w:pStyle w:val="Heading2"/>
      </w:pPr>
      <w:r>
        <w:t>Erwägungen</w:t>
      </w:r>
    </w:p>
    <w:p>
      <w:r>
        <w:rPr>
          <w:b/>
        </w:rPr>
        <w:t>E. 1.1</w:t>
      </w:r>
    </w:p>
    <w:p>
      <w:r>
        <w:t>Interjeté par la partie qui a succombé sur l'essentiel de ses conclusions en paiement et qui a donc qualité pour recourir ( art. 76 al. 1 LTF ), dirigé contre un arrêt final ( art. 90 LTF ) rendu en matière civile (72 al. 1 LTF) par une autorité cantonale de dernière instance statuant sur recours ( art. 75 LTF ) dans une affaire pécuniaire dont la valeur litigieuse atteint le seuil de 15'000 fr. requis en matière de droit du travail ( art. 74 al. 1 let. a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être formé pour violation d'un droit constitutionnel ( ATF 136 I 241 consid. 2.1 p. 247; 136 II 306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IV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Si la partie recourante soutient que les faits ont été établis de manière arbitraire, elle doit motiver son grief conformément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 recourant présente sur quinze pages son propre état de fait, en indiquant qu'il reproduit les constatations cantonales. Dès lors qu'il n'invoque pas l'arbitraire ( art. 9 Cst. )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rPr>
          <w:b/>
        </w:rPr>
        <w:t>E. 2.1</w:t>
      </w:r>
    </w:p>
    <w:p>
      <w:r>
        <w:t>En raison du siège en Belgique de l'intimée et du domicile en France du recourant, la cause revêt un caractère international et le Tribunal fédéral doit déterminer d'office quel est le droit applicable ( ATF 136 III 142 consid. 3.2 p. 144; 132 III 609 consid. 4 p. 614, 626 consid. 2 p. 629). La question doit être tranchée selon le droit international privé du for ( ATF 136 III 142 consid. 3.2 p. 144; 132 III 661 consid. 2 p. 663). La qualification du rapport juridique litigieux doit être effectuée selon le droit interne du for ( ATF 136 III 142 consid. 3.2 p. 144; 132 III 609 consid. 4 p. 615). Selon le droit interne du for, il n'est pas douteux que le litige s'inscrit dans le contexte d'un contrat individuel de travail ( art. 319 al. 1 CO ), puisque le recourant s'était engagé à fournir ses services dans une position subordonnée et que l'intimée s'était obligée, en contrepartie, à lui verser un salaire. Seules sont litigieuses devant la juridiction suisse des prétentions issues du "secondment contract". Les parties ont soumis expressément ce contrat au droit suisse ( art. 116 LDIP ). L'élection de droit est valable puisque l'intimée a un établissement dans ce pays ( art. 121 al. 3 et art. 21 al. 4 LDIP ) et le droit suisse est donc applicable. Au demeurant, on relèvera qu'il s'agit du pays dans lequel le travailleur accomplissait habituellement son travail pendant son affectation temporaire (cf. art. 121 al. 1 LDIP ).</w:t>
      </w:r>
    </w:p>
    <w:p>
      <w:r>
        <w:rPr>
          <w:b/>
        </w:rPr>
        <w:t>E. 2.2</w:t>
      </w:r>
    </w:p>
    <w:p>
      <w:r>
        <w:t>Avant d'examiner les nombreux griefs invoqués par le recourant dans une écriture plutôt prolixe, il convient de rappeler les principes juridiques qui permettent de trancher les questions posées.</w:t>
      </w:r>
    </w:p>
    <w:p>
      <w:r>
        <w:rPr>
          <w:b/>
        </w:rPr>
        <w:t>E. 2.2.1</w:t>
      </w:r>
    </w:p>
    <w:p>
      <w:r>
        <w:t>Le recourant se plaint d'une violation de l' art. 8 CC , qui prévoit que chaque partie doit, si la loi ne prescrit le contraire, prouver les faits qu'elle allègue pour en déduire son droit. 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la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p. 25 s.; 127 III 248 consid. 3a p. 253). Savoir si, à l'issue de l'appréciation des preuves, l'existence ou l'inexistence d'un fait doit être considérée comme établie ou douteuse est une question qui ne relève pas de l' art. 8 CC , mais exclusivement de l'appréciation des preuves.</w:t>
      </w:r>
    </w:p>
    <w:p>
      <w:r>
        <w:rPr>
          <w:b/>
        </w:rPr>
        <w:t>E. 2.2.2</w:t>
      </w:r>
    </w:p>
    <w:p>
      <w:r>
        <w:t>L'appréciation des preuves ne peut être revue par le Tribunal fédéral que sous l'angle restreint de l'arbitraire ( art. 9 Cst. ). En l'espèce, le recourant se plaint, sur plusieurs points, d'arbitraire dans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L' art. 97 al. 1 LTF précise d'ailleurs qu'une correction de l'état de fait ne peut être demandée que si elle est susceptible d'influer sur le sort de la cause. 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rPr>
          <w:b/>
        </w:rPr>
        <w:t>E. 2.2.3</w:t>
      </w:r>
    </w:p>
    <w:p>
      <w:r>
        <w:t>L'argumentation du recourant revient pour l'essentiel à discuter l'interprétation du "secondment contract", ainsi que des clauses qu'il contient ou qui ont été adoptées dans ce contexte.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 Le principe selon lequel l'interprétation subjective a la priorité sur l'interprétation objective relève du droit ( ATF 131 III 606 consid. 4.1 p. 612).</w:t>
      </w:r>
    </w:p>
    <w:p>
      <w:r>
        <w:rPr>
          <w:b/>
        </w:rPr>
        <w:t>E. 2.3</w:t>
      </w:r>
    </w:p>
    <w:p>
      <w:r>
        <w:t>Il convient maintenant d'examiner les griefs soulevés à la lumière des principes qui viennent d'être rappelés.</w:t>
      </w:r>
    </w:p>
    <w:p>
      <w:r>
        <w:rPr>
          <w:b/>
        </w:rPr>
        <w:t>E. 2.3.1</w:t>
      </w:r>
    </w:p>
    <w:p>
      <w:r>
        <w:t>Le recourant soutient que le "secondment contract" constituerait un contrat individuel de travail en lui-même, distinct du contrat signé précédemment en France, pour le motif que l'employeur ne serait pas le même: dans le premier cas, il s'agissait de Y.________ France et dans le second cas de Y.________ Suisse. Selon le site officiel du registre du commerce - dont le contenu est notoire - la société intimée est une société ayant son siège à Bruxelles (Belgique), qui a fait inscrire deux succursales en Suisse, l'une à ... et l'autre à .... En droit suisse, une succursale est une partie d'une entreprise principale qui dispose durablement de ses propres installations où elle exerce une activité analogue à celle de l'entreprise principale et qui jouit d'une certaine indépendance financière et commerciale ( ATF 117 II 85 consid. 3 p. 87). La succursale n'a pas la personnalité juridique ( ATF 120 III 11 consid. 1a p. 13; arrêt 4P.146/2005 du 10 octobre 2005 consid. 5.2.2 publié in RtiD 2006 II p. 669; arrêt 4C.270/2003 du 28 novembre 2003 consid. 1.1). Quant à la succursale française - dont l'existence est constatée dans l'arrêt attaqué (p. 16) -, il faut relever qu'une succursale en France d'une société étrangère ne dispose d'aucune personnalité juridique autonome (Jurisclasseur, sociétés, vol. 1, fascicule 28-40 n° 86; arrêt de la Cour de cassation, Chambre sociale, du 23 septembre 2008 n° 07-42862). La succursale n'étant pas dotée de la personnalité juridique ni en droit suisse ni en droit français, le recourant a conclu les deux contrats invoqués avec la même personne juridique, à savoir la société intimée, représentée tantôt par sa succursale française, tantôt par sa succursale suisse. Le premier argument soulevé ne résiste donc pas à l'examen.</w:t>
      </w:r>
    </w:p>
    <w:p>
      <w:r>
        <w:rPr>
          <w:b/>
        </w:rPr>
        <w:t>E. 2.3.2</w:t>
      </w:r>
    </w:p>
    <w:p>
      <w:r>
        <w:t>Le second contrat conclu, rédigé en anglais, porte le titre de "secondment contract". Selon les dictionnaires immédiatement disponibles sur internet, le terme de "secondment" vise un transfert temporaire à un autre poste dans une même organisation, une affectation provisoire, un détachement. Le contenu du contrat confirme cette signification précise et montre que ce terme n'a pas été employé indûment. Etant rappelé que le contrat d'origine prévoyait déjà la possibilité d'une mutation dans un autre pays, le second contrat prévoit un détachement à Genève pour une durée de trois ans, éventuellement renouvelable par accord mutuel pour une période supplémentaire de deux ans. Il était prévu qu'à la fin du détachement, l'employé serait rapatrié en France et que le contrat initial reprenait ses effets. Ainsi, il en ressort clairement que le contrat initial ne s'est pas éteint avec l'adoption du "secondment contract", mais qu'il devait au contraire reprendre ses effets après la période d'affectation à Genève. Le "secondment contract" avait pour seul objet d'adapter les dispositions du contrat de travail pendant la durée, limitée dans le temps, de l'affectation en Suisse. Le "secondment contract" se caractérise donc comme un contrat de modification ou d'amendement, qui a pour seul objet d'adapter le rapport de travail pendant la durée de l'affectation temporaire, le contrat initial subsistant à l'état latent pendant cette période. Le "secondment contract" ne constitue dès lors pas un nouveau contrat de travail, le contrat initial étant destiné à reprendre effet après l'affectation temporaire. Dès lors qu'aucune intention réelle concordante n'avait été établie, la cour cantonale n'a pas violé les règles du droit fédéral sur l'interprétation des manifestations de volonté en donnant cette signification au "secondment contract" sur la base du texte des dispositions contractuelles adoptées par les deux parties (interprétation objective).</w:t>
      </w:r>
    </w:p>
    <w:p>
      <w:r>
        <w:rPr>
          <w:b/>
        </w:rPr>
        <w:t>E. 2.3.3</w:t>
      </w:r>
    </w:p>
    <w:p>
      <w:r>
        <w:t>Lorsque l'employeur a mis fin à l'affectation temporaire en Suisse, l'employé devait, selon les termes du "secondment contract", être rapatrié en France et le contrat initial reprenait ses effets. L'intimée a d'ailleurs bien demandé au recourant de reprendre son travail à Paris. Que l'affectation provisoire prenne fin n'entraînait donc pas l'extinction de la relation de travail, laquelle se poursuivait avec le même employeur (comme on l'a vu), mais dans un autre lieu (comme le "secondment contract" le prévoyait expressément). Ainsi, la fin de l'affectation provisoire n'a pas entraîné la rupture de la relation de travail, qui se poursuivait conformément à l'accord des parties. Il ne s'agit dès lors pas d'un congé et c'est à juste titre que la cour cantonale n'a pas appliqué l' art. 336 CO .</w:t>
      </w:r>
    </w:p>
    <w:p>
      <w:r>
        <w:rPr>
          <w:b/>
        </w:rPr>
        <w:t>E. 2.3.4</w:t>
      </w:r>
    </w:p>
    <w:p>
      <w:r>
        <w:t>Le recourant soutient que l'intimée ne pouvait pas mettre fin à l'affectation provisoire avant une durée de trois ans. Selon les constatations cantonales - qui lient le Tribunal fédéral ( art. 105 al. 1 LTF ) -, il était prévu que l'affectation provisoire aurait une durée de trois ans, reconductible pour deux ans en cas de nouvel accord. Cependant, une clause spéciale prévoyait que chacune des parties pouvait "en tout temps" mettre fin à l'affectation provisoire moyennant un préavis écrit de trois mois. L'expression "en tout temps" montre que chacune des parties pouvait, à n'importe quel moment, mettre fin à l'affectation provisoire moyennant un préavis de trois mois. Cette clause, selon son texte clair, n'était pas dépourvue de sens et de but. Elle permettait en effet à l'entreprise intimée de déplacer son personnel selon ses besoins, objectif qu'elle avait déjà manifesté dans le contrat initial. Du point de vue du travailleur également, cette clause présentait un avantage, puisqu'elle donnait au recourant la possibilité d'exiger de retourner à Paris s'il ne se plaisait pas dans son emploi à Genève. Imaginer, comme le fait le recourant, que la clause spéciale sur la résiliation - avec son préavis de trois mois - ne s'applique qu'à l'expiration du délai de trois ans puis de deux ans supplémentaires aurait pour effet d'enlever tout sens à l'expression "en tout temps". En interprétant la clause de résiliation selon son sens clair, la cour cantonale n'a pas violé les règles du droit fédéral sur l'interprétation des manifestations de volonté ( art. 18 CO ). Dès lors, l'intimée a valablement mis fin à l'affectation provisoire.</w:t>
      </w:r>
    </w:p>
    <w:p>
      <w:r>
        <w:rPr>
          <w:b/>
        </w:rPr>
        <w:t>E. 2.3.5</w:t>
      </w:r>
    </w:p>
    <w:p>
      <w:r>
        <w:t>Le recourant réclame des prestations découlant d'un plan d'intéressement conclu avec son employeur. La cour cantonale, examinant les dispositions contractuelles, est parvenue à la conclusion que le recourant ne pouvait faire valoir les droits en question que s'il était encore au service de l'entreprise six ans après la date de référence, soit le 30 avril 2008. Le recourant ne conteste pas le contenu de ces dispositions, dont la constatation relève du fait ( art. 105 al. 1 LTF ). Comme le contrat a pris fin en mars 2004 (le recourant n'ayant pas repris son poste à Paris), la durée de travail prévue n'a pas été atteinte, de sorte que le recourant ne peut déduire aucun droit de ce plan d'intéressement. Le recourant s'oppose à l'argumentation cantonale en faisant seulement valoir qu'il avait le droit de travailler à Genève pendant une période de trois ans, suivie d'une période de deux ans. Or, comme on l'a vu, le "secondment contract" ne prévoyait aucun droit de rester à Genève, mais permettait au contraire à chacune des parties de mettre fin à cette affectation moyennant un préavis de trois mois. Dès lors, l'extinction du rapport de travail, survenue à Paris en 2004, ne saurait être reportée. On pourrait certes se demander si l'employeur n'a pas empêché de mauvaise foi l'avènement de la condition prévue dans le plan d'intéressement (cf. art. 156 CO ). Il ressort toutefois de l'arrêt cantonal que la relation de travail a pris fin à Paris pour le motif que le recourant n'a pas accepté d'y reprendre son poste et a contesté la fin de son affectation temporaire. L'état de fait cantonal (qui lie le Tribunal fédéral: art. 105 al. 1 LTF ) ne contient ainsi aucun élément qui puisse conduire à retenir une mauvaise foi de la part de l'intimée.</w:t>
      </w:r>
    </w:p>
    <w:p>
      <w:r>
        <w:rPr>
          <w:b/>
        </w:rPr>
        <w:t>E. 2.3.6</w:t>
      </w:r>
    </w:p>
    <w:p>
      <w:r>
        <w:t>Le recourant soutient qu'il a effectué des heures supplémentaires, dont il demande le paiement. Il lui incombait d'apporter la preuve des faits à l'appui de sa prétention ( art. 8 CC ). L' art. 42 al. 2 CO ne lui permet pas d'échapper à la charge de la preuve dans la mesure où elle peut être exigée ( ATF 133 III 462 consid. 4.4.2 p. 471). La cour cantonale a relevé que, selon les témoignages recueillis, il existait une procédure à l'intérieur de l'entreprise selon laquelle les heures supplémentaires devaient obtenir l'approbation du supérieur hiérarchique et donner lieu à une communication au service des ressources humaines; or, ce service n'avait aucune connaissance d'une prétention du recourant pour des heures supplémentaires. On ne voit pas ce qu'il y a d'arbitraire à croire ces dépositions. Il faut en déduire que le recourant n'a pas suivi la procédure prévue et il ne peut s'en prendre qu'à lui-même s'il ne parvient plus à prouver ses prétendues heures supplémentaires. La cour cantonale a relevé que les décomptes produits, émanant d'une source inconnue, ne suffisaient pas pour convaincre de l'existence de ces heures supplémentaires. Le recourant n'explique pas pourquoi ces pièces auraient une valeur probante particulière et il ne parvient donc pas à démontrer que la cour cantonale serait tombée dans l'arbitraire en retenant, à l'issue de l'appréciation des preuves, que l'existence de ces heures supplémentaires était douteuse. Le recourant invoque le travail effectué dans le cadre d'un projet européen. Un témoin a cependant affirmé que les notes établies en cette occasion indiquaient sous une seule dénomination le travail fourni par plusieurs collaborateurs. On ne voit pas ce qu'il y a d'arbitraire à croire ce témoignage qui suffit à jeter le doute sur les heures supplémentaires réellement effectuées par le recourant. La cour cantonale n'est pas tombée dans l'arbitraire en concluant que les heures supplémentaires n'étaient pas prouvées.</w:t>
      </w:r>
    </w:p>
    <w:p>
      <w:r>
        <w:rPr>
          <w:b/>
        </w:rPr>
        <w:t>E. 2.3.7</w:t>
      </w:r>
    </w:p>
    <w:p>
      <w:r>
        <w:t>Le recourant soutient qu'il a travaillé pendant des jours fériés et il demande à être rémunéré pour cela. La cour cantonale a observé que ni la directrice des ressources humaines, ni le supérieur hiérarchique du recourant n'avait eu connaissance de travail effectué durant les jours fériés; en outre, ils ont expliqué que s'il arrivait exceptionnellement à un employé de devoir travailler les jours fériés, il pouvait récupérer ce temps libre à une date ultérieure. On ne voit pas ce qu'il y a d'arbitraire à croire les témoignages recueillis. En conséquence, la cour cantonale n'a pas apprécié les preuves de manière arbitraire en retenant qu'il n'était pas établi que le recourant, partie demanderesse assumant le fardeau de la preuve ( art. 8 CC ), avait travaillé pendant des jours fériés, sans pouvoir récupérer le temps libre à un autre moment.</w:t>
      </w:r>
    </w:p>
    <w:p>
      <w:r>
        <w:rPr>
          <w:b/>
        </w:rPr>
        <w:t>E. 2.3.8</w:t>
      </w:r>
    </w:p>
    <w:p>
      <w:r>
        <w:t>Le recourant prétend avoir droit à une indemnité "à titre de support de recherche professionnelle". La cour cantonale a conclu qu'aucune disposition contractuelle ne lui donnait droit à une telle prestation. Le recourant ne prétend pas que la cour cantonale aurait arbitrairement déterminé le contenu des dispositions contractuelles ou qu'elle l'aurait interprété d'une manière contraire au droit fédéral. Le droit à l'égalité de traitement ( art. 8 Cst. ) ne s'applique pas directement à des prétentions entre particuliers (cf. arrêt 5P.97/2006 du 1er juin 2006 consid. 3). Le grief n'a donc aucune consistance et la cour cantonale n'a pas violé le droit fédéral en rejetant cette prétention.</w:t>
      </w:r>
    </w:p>
    <w:p>
      <w:r>
        <w:rPr>
          <w:b/>
        </w:rPr>
        <w:t>E. 2.3.9</w:t>
      </w:r>
    </w:p>
    <w:p>
      <w:r>
        <w:t>Le recourant formule encore d'autres prétentions (allocations de logement, allocations d'écolage, allocations familiales et allocations d'assurance-maladie), mais il ne soutient pas, en relation avec ces différents points, que la cour cantonale, dans l'arrêt attaqué, aurait violé le droit fédéral. En l'absence d'une motivation répondant aux exigences de l' art. 42 al. 2 LTF , il n'y a pas lieu d'entrer en matière (cf. supra consid. 1.2).</w:t>
      </w:r>
    </w:p>
    <w:p>
      <w:r>
        <w:rPr>
          <w:b/>
        </w:rPr>
        <w:t>E. 3</w:t>
      </w:r>
    </w:p>
    <w:p>
      <w:r>
        <w:t>Ainsi, le recours doit être entièrement rejeté dans la mesure où il est recevable. 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