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4A_421/2025 vom 29. April 2026</w:t>
      </w:r>
    </w:p>
    <w:p>
      <w:r>
        <w:t>Bundesgericht, 2026-04-29, FR</w:t>
      </w:r>
    </w:p>
    <w:p>
      <w:r>
        <w:rPr>
          <w:b/>
        </w:rPr>
        <w:t xml:space="preserve">Quelle: </w:t>
      </w:r>
      <w:r>
        <w:t>https://mcp.opencaselaw.ch/entscheid/bger_4A_421_2025</w:t>
      </w:r>
    </w:p>
    <w:p>
      <w:r>
        <w:t>FR: TF 4A_421/2025 du 29 avril 2026</w:t>
      </w:r>
    </w:p>
    <w:p>
      <w:r>
        <w:t>IT: TF 4A_421/2025 del 29 aprile 2026</w:t>
      </w:r>
    </w:p>
    <w:p>
      <w:pPr>
        <w:pStyle w:val="Heading2"/>
      </w:pPr>
      <w:r>
        <w:t>Erwägungen</w:t>
      </w:r>
    </w:p>
    <w:p>
      <w:r>
        <w:rPr>
          <w:b/>
        </w:rPr>
        <w:t>E. 1.1</w:t>
      </w:r>
    </w:p>
    <w:p>
      <w:r>
        <w:t>Selon l'art. 17 al. 3 de la loi fédérale du 4 décembre 1947 sur la procédure civile fédérale (RS 273; PCF), applicable par renvoi de l' art. 71 LTF , le changement des personnes n'entraîne pas substitution de parties - lequel présuppose le consentement de la partie adverse ( art. 17 al. 1 PCF ) - lorsqu'il s'opère notamment en vertu de dispositions légales spéciales. Sont de telles dispositions spéciales les règles sur la fusion, la scission et la transformation de sociétés contenues dans la loi fédérale du 3 octobre 2003 sur la fusion, la scission, la transformation et le transfert de patrimoine (RS 221.301; LFus; arrêts 2C_597/2024 du 16 septembre 2025 consid. 2.1, destiné à la publication; 4A_139/2020 du 7 juillet 2020 consid. 3.1.1 et l'arrêt cité).</w:t>
      </w:r>
    </w:p>
    <w:p>
      <w:r>
        <w:t>En cas de reprise d'une société par fusion, la société reprenante devient partie à la procédure à la place de la société reprise et agit procéduralement à sa place sans que n'intervienne une substitution de parties. La succession juridique opérée en raison de la succession universelle intervient de par la loi et doit être prise en considération d'office (arrêts 2C_597/2024 du 16 septembre 2025 consid. 2.1.1 et les arrêts cités, destiné à la publication; 4A_205/2021 du 20 décembre 2021 consid. 1.1 et les arrêts cités).</w:t>
      </w:r>
    </w:p>
    <w:p>
      <w:r>
        <w:rPr>
          <w:b/>
        </w:rPr>
        <w:t>E. 1.2</w:t>
      </w:r>
    </w:p>
    <w:p>
      <w:r>
        <w:t>En l'occurrence, B.________ SA a repris envers les tiers les actifs et les passifs de C.________ SA par suite de fusion. Il s'ensuit que le rubrum du présent arrêt doit être modifié d'office pour tenir compte de cette fusion.</w:t>
      </w:r>
    </w:p>
    <w:p>
      <w:r>
        <w:rPr>
          <w:b/>
        </w:rPr>
        <w:t>E. 2</w:t>
      </w:r>
    </w:p>
    <w:p>
      <w:r>
        <w:t>Interjeté dans le délai fixé par la loi ( art. 100 al. 1, art. 46 al. 1 let. b et art. 45 al. 1 LTF ) par le poursuivi, qui a succombé dans ses conclusions ( art. 76 al. 1 LTF ), et dirigé contre une décision finale ( art. 90 LTF ; ATF 134 III 115 consid. 1.1) rendue sur recours par le tribunal supérieur du canton de Vaud ( art. 75 LTF ) dans une affaire en matière de poursuite pour dettes ( art. 72 al. 2 let. a LTF ) dont la valeur litigieuse dépasse 30'000 fr. ( art. 74 al. 1 let. b LTF ; arrêt 5A_941/2021 du 5 juillet 2023 consid. 2 et les références citées), le recours en matière civile est en principe recevable.</w:t>
      </w:r>
    </w:p>
    <w:p>
      <w:r>
        <w:rPr>
          <w:b/>
        </w:rPr>
        <w:t>E. 3.1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3.3</w:t>
      </w:r>
    </w:p>
    <w:p>
      <w:r>
        <w:t>Le recourant a cru bon d'effectuer un rappel des faits. Dans la mesure où il ne soutient ni n'établit que l'état de fait constaté par la cour cantonale serait arbitraire et qu'il ne sollicite pas valablement le complètement de l'état de fait, il ne sera pas tenu compte de cet exposé.</w:t>
      </w:r>
    </w:p>
    <w:p>
      <w:r>
        <w:rPr>
          <w:b/>
        </w:rPr>
        <w:t>E. 4</w:t>
      </w:r>
    </w:p>
    <w:p>
      <w:r>
        <w:t>Le recourant reproche à la cour cantonale d'avoir constaté les faits de manière inexacte et incomplète, d'être tombée dans l'arbitraire, d'avoir fait preuve de formalisme excessif et de l'avoir empêché d'avoir accès à une justice "équitable, indépendante et crédible"en déclarant son recours cantonal irrecevable. Il invoque une violation des art. 9 et 29 al. 1 Cst. , des art. 59 al. 2 let. a et 321 al. 1 CPC et de l' art. 80 al. 1 LP .</w:t>
      </w:r>
    </w:p>
    <w:p>
      <w:r>
        <w:rPr>
          <w:b/>
        </w:rPr>
        <w:t>E. 4.1.1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142 IV 299 consid. 1.3.2; 142 I 10 consid. 2.4.2; 135 I 6 consid. 2.1).</w:t>
      </w:r>
    </w:p>
    <w:p>
      <w:r>
        <w:t>Lorsque la loi conditionne la recevabilité d'une voie de recours au respect d'un degré minimal de motivation, l'exigence d'une motivation minimale ne saurait constituer une violation du droit d'être entendu ou de l'interdiction du formalisme excessif ( ATF 134 II 244 consid. 2.4.2 et les arrêts cités; arrêts 4D_71/2024 du 21 juin 2024 consid. 6.1; 5A_195/2023 du 9 mai 2023 consid. 3.2.2 et les arrêts cités). En matière civile, tel est notamment le cas de l' art. 311 al. 1 CPC s'agissant de l'appel et de l' art. 321 al. 1 CPC s'agissant du recours cantonal (arrêt 4D_71/2024 précité consid. 6.1).</w:t>
      </w:r>
    </w:p>
    <w:p>
      <w:r>
        <w:rPr>
          <w:b/>
        </w:rPr>
        <w:t>E. 4.1.2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4A_412/2024 du 17 octobre 2024 consid. 4.1 et les arrêts cités; 4A_401/2024 du 4 octobre 2024 consid. 4.1; cf. ATF 138 III 46 consid. 1.2). Ainsi, lorsqu'il interjette un recours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4A_412/2024 précité consid. 4.1 et les arrêts cités; 4A_401/2024 précité consid. 4.1; 4A_121/2024 du 26 mars 2024 consid. 4.2).</w:t>
      </w:r>
    </w:p>
    <w:p>
      <w:r>
        <w:rPr>
          <w:b/>
        </w:rPr>
        <w:t>E. 4.2</w:t>
      </w:r>
    </w:p>
    <w:p>
      <w:r>
        <w:t>La première juge a considéré que le jugement cantonal du 15 juillet 2024, confirmé par l'arrêt du Tribunal fédéral du 21 octobre 2024 et ayant acquis force de chose jugée, constituait un titre de mainlevée définitive au sens de l' art. 80 al. 1 LP pour les montants en poursuite, que le poursuivi n'avait fait valoir aucun moyen libératoire et que, dans ces circonstances, l'opposition au commandement de payer devait être définitivement levée.</w:t>
      </w:r>
    </w:p>
    <w:p>
      <w:r>
        <w:rPr>
          <w:b/>
        </w:rPr>
        <w:t>E. 4.3</w:t>
      </w:r>
    </w:p>
    <w:p>
      <w:r>
        <w:t>La cour cantonale a retenu que le poursuivi s'était borné, dans son recours cantonal tout comme en première instance, à revenir sur le fond du litige ayant abouti aux jugements invoqués comme titres de mainlevée. Elle a considéré que cela n'était en l'espèce pas pertinent, dès lors que le juge de la mainlevée ne peut pas examiner le bien-fondé de la décision dont l'exécution est requise. Elle a entre outre constaté que le poursuivi n'avait pas discuté la motivation de la décision de première instance, qui portait uniquement sur la question de savoir si les jugements invoqués à l'appui de la requête de mainlevée constituaient ou non des titres de mainlevée définitive au sens de l' art. 80 al. 1 LP . Elle a jugé que la motivation du recours ne satisfaisait donc pas aux exigences de l' art. 321 al. 1 CPC et de la jurisprudence et que le recours devait dès lors être déclaré irrecevable.</w:t>
      </w:r>
    </w:p>
    <w:p>
      <w:r>
        <w:rPr>
          <w:b/>
        </w:rPr>
        <w:t>E. 4.4</w:t>
      </w:r>
    </w:p>
    <w:p>
      <w:r>
        <w:t>Le recourant se fonde sur des faits qui n'ont pas été constatés par la cour cantonale. Dès lors qu'il ne sollicite pas valablement le complètement de l'état de fait, faute pour lui de démontrer, par des renvois précis aux pièces du dossier, qu'il aurait présenté aux autorités précédentes, en conformité avec les règles de la procédure, les faits juridiquement pertinents à cet égard et les moyens de preuve adéquats (cf.</w:t>
      </w:r>
    </w:p>
    <w:p>
      <w:r>
        <w:t>supra consid. 3.1), la Cour de céans ne peut tenir compte de ces éléments.</w:t>
      </w:r>
    </w:p>
    <w:p>
      <w:r>
        <w:t>Le recourant perd en outre de vue que, dès lors que l' art. 321 al. 1 CPC conditionne la recevabilité du recours au respect d'un degré minimal de motivation, l'exigence d'une motivation minimale ne saurait constituer une violation de l'interdiction du formalisme excessif. Son grief de violation de l' art. 29 al. 1 Cst. doit dès lors être rejeté.</w:t>
      </w:r>
    </w:p>
    <w:p>
      <w:r>
        <w:t>Le recourant n'expose par ailleurs pas avec une motivation suffisante la raison pour laquelle l' art. 59 al. 2 let. a CPC , qui précise l'une des conditions de recevabilité des demandes et des requêtes, aurait été ici violé par la cour cantonale. Sa critique est dès lors irrecevable ( art. 42 al. 2 LTF ).</w:t>
      </w:r>
    </w:p>
    <w:p>
      <w:r>
        <w:t>En outre, le recourant ne formule pas de grief suffisamment motivé et ne démontre pas, références précises à l'appui, qu'il aurait valablement remis en cause la motivation de la décision de première instance dans son recours cantonal et que la cour cantonale aurait violé l' art. 321 al. 1 CPC , de sorte que son recours est pour le reste irrecevable (cf.</w:t>
      </w:r>
    </w:p>
    <w:p>
      <w:r>
        <w:t>supra consid. 3.2 et 4.1.2).</w:t>
      </w:r>
    </w:p>
    <w:p>
      <w:r>
        <w:rPr>
          <w:b/>
        </w:rPr>
        <w:t>E. 5</w:t>
      </w:r>
    </w:p>
    <w:p>
      <w:r>
        <w:t>Au vu de ce qui précède, le recours doit être rejeté, dans la mesure de sa recevabilité, selon la procédure simplifiée prévue par l' art. 109 al. 2 let. a LTF .</w:t>
      </w:r>
    </w:p>
    <w:p>
      <w:r>
        <w:t>Les frais judiciaires seront mis à la charge du recourant, qui succombe ( art. 66 al. 1 LTF ). Dès lors que l'intimée n'a pas été invitée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