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421/2022 vom 11. April 2023</w:t>
      </w:r>
    </w:p>
    <w:p>
      <w:r>
        <w:t>Bundesgericht, 2023-04-11, DE</w:t>
      </w:r>
    </w:p>
    <w:p>
      <w:r>
        <w:rPr>
          <w:b/>
        </w:rPr>
        <w:t xml:space="preserve">Quelle: </w:t>
      </w:r>
      <w:r>
        <w:t>https://mcp.opencaselaw.ch/entscheid/bger_4A_421_2022</w:t>
      </w:r>
    </w:p>
    <w:p>
      <w:r>
        <w:t>FR: TF 4A 421/2022 du 11 avril 2023</w:t>
      </w:r>
    </w:p>
    <w:p>
      <w:r>
        <w:t>IT: TF 4A 421/2022 del 11 aprile 2023</w:t>
      </w:r>
    </w:p>
    <w:p>
      <w:pPr>
        <w:pStyle w:val="Heading2"/>
      </w:pPr>
      <w:r>
        <w:t>Regeste</w:t>
      </w:r>
    </w:p>
    <w:p>
      <w:r>
        <w:t>Patentrecht,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sie richtet sich gegen einen Endentscheid ( Art. 90 BGG ) des Bundespatentgerichts ( Art. 75 Abs. 1 BGG ), die Beschwerdeführerin ist mit ihren Anträgen teilweise nicht durchgedrungen ( Art. 76 Abs. 1 BGG ), ein Streitwert ist nicht erforderlich ( Art. 74 Abs. 2 lit. e BGG ) und die Beschwerdefrist ist eingehalten ( Art. 100 Abs. 1 BGG ). Die Beschwerdeführerin formuliert hinsichtlich des vorinstanzlichen Kostenentscheids kein separates beziffertes Rechtsbegehren. Aus ihrer Beschwerdebegründung geht jedoch hervor, dass sie den Kostenentscheid unabhängig vom Ausgang der Hauptsache anfechten will und in welchem Verhältnis sie eine Abänderung der Kostenverteilung beantragt (vgl. BGE 143 III 111 E. 1.2; 136 V 131 E. 1.2; 134 III 235 E. 2). Auf die Beschwerde ist - unter Vorbehalt einer hinreichenden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 BGE 134 II 349 E. 3 ; 133 I 1 E. 5.5).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Vorinstanz prüfte die Schutzvoraussetzung der Neuheit der beanspruchten Erfindungen gegenüber dem Stand der Technik (Art. 52 Abs. 1 und Art. 54 Abs. 1 des Europäischen Patentübereinkommens vom 5. Oktober 1973, revidiert in München am 29. November 2000 [EPÜ 2000; SR 0.232.142.2]; Art. 1 Abs. 1 und Art. 7 Abs. 1 des Bundesgesetzes vom 25. Juni 1954 über die Erfindungspatente [Patentgesetz, PatG; SR 232.14] ). Dabei kam sie zum Schluss, der Gegenstand des erteilten Anspruchs 1 des Klagepatents EP xxx sei gegenüber dem Ausführungsbeispiel gemäss Fig. 1 von EP qqq nicht neu. Zudem nehme auch das Ausführungsbeispiel gemäss der Abbildung auf der ersten Seite des "Flyers C.________" - einer Produktbroschüre der Beschwerdeführerin - den Gegenstand von Anspruch 1 von EP xxx neuheitsschädlich vorweg. Hinsichtlich der Neuheit der Erfindung gemäss Eventualanspruch des Klagepatents EP xxx stellte die Vorinstanz fest, die Beschwerdeführerin behaupte nicht, dass der (erste) Eventualanspruch dieses Patents, den die Beschwerdegegnerin für die Zwecke des Verfahrens in der Replik formuliere, nicht neu sei. Sie mache ausschliesslich fehlende erfinderische Tätigkeit ausgehend von drei Patenten geltend. Dieser Einwand sei unbegründet; der Gegenstand des Anspruchs 1 von EP xxx gemäss Eventualantrag beruhe ausgehend von den ins Feld geführten Patenten vielmehr auf erfinderischer Tätigkeit. Während beim Klagepatent EP yyy weder der erteilte Anspruch 1 noch die eingeschränkten Ansprüche gemäss Eventual- und Subeventualantrag rechtsbeständig seien, erweise sich der gemäss Eventualantrag eingeschränkte Anspruch 1 des Klagepatents EP xxx somit als schutzfähig. Zur Frage der Verletzung führte die Vorinstanz aus, die Beschwerdegegnerin mache geltend, dass die Beschwerdeführerin durch das Anbieten etc. der C.________ Normalkraftanschlüsse der Typen D.________, E.________ und F.________ den Anspruch 1 des Klagepatents EP xxx gemäss Eventualantrag verletze. Die angegriffenen Ausführungsformen der Beschwerdeführerin verwirklichten alle Merkmale des erteilten Anspruchs 1 von Klagepatent EP xxx. Während der erteilte Anspruch auf ein Anschlusselement als solches gerichtet sei, sei der Anspruch gemäss Eventualantrag auf eine Betonkonstruktion mit einem Anschlusselement gerichtet. Es sei unstrittig, dass die Beschwerdeführerin keine Betonkonstruktionen herstelle oder anbiete, sondern nur Anschlusselemente, die in Betonkonstruktionen eingebaut werden könnten. Sie preise jedoch ihre Normalkraftanschlüsse ausdrücklich für einen den eingeschränkten Anspruch von EP xxx gemäss Eventualantrag patentverletzenden Einsatz an, wie sich aus ihrem Katalog "C.________ zzz" ergebe. Damit werde die Beschwerdeführerin nach Art. 66 lit. d PatG als Teilnehmerin verantwortlich. Entsprechend sei ihr zu verbieten, an Verletzungshandlungen Dritter teilzunehmen, indem sie die von ihr hergestellten Anschlusselemente der Typen D.________, "D.________ mit F.________ und E.________ als für den "vertikalen" Einbau anpreist. Das Patent könne jedoch, so die Vorinstanz weiter, nach Art. 35 Abs. 1 PatG demjenigen nicht entgegengehalten werden, der bereits vor dem Anmelde- oder Prioritätsdatum die Erfindung im guten Glauben im Inland gewerbsmässig benützt habe. Als Einwendung sei dieses Mitbenützungsrecht bei entsprechendem Sachverhaltsvortrag vom Gericht von Amtes wegen zu berücksichtigen. Die Beschwerdeführerin habe bereits 2005 ein Anschlusselement angeboten, das alle Merkmale des erteilten Anspruchs 1 des Klagepatents EP xxx verwirkliche. Sie habe dieses Anschlusselement, das sie hergestellt habe, gemäss ihrem "Flyer C.________" auch zum "vertikalen" Einbau zwischen einer Betondecke und einer Tragwand aus Beton angepriesen. Im Unterschied zu den angegriffenen Ausführungsformen wiesen die vorbenutzten Normalkraftanschlüsse Druckverteilelemente in der Form von Druck stäben auf, während die angegriffenen Ausführungsformen Druck platten verwendeten. Damit sei festzustellen, dass die Beschwerdeführerin ein Mitbenützungsrecht am Klagepatent EP xxx erworben habe. Sie habe damit das Recht, Normalkraftanschlüsse der Art, wie sie sie bereits vor dem Prioritätsdatum (19. November 2010) in der Schweiz hergestellt und angeboten habe, d.h. mit Druckverteilstäben als Druckverteilelementen, auch weiterhin herzustellen und zu vertreiben. Die Beschwerdeführerin habe ebenfalls das Recht, diese Normalkraftanschlüsse zum "vertikalen" Einbau zwischen einer Betondecke und einer Tragwand aus Beton anzupreisen, wie sie dies ebenfalls bereits vor dem Prioritätsdatum gemacht habe.</w:t>
      </w:r>
    </w:p>
    <w:p>
      <w:r>
        <w:rPr>
          <w:b/>
        </w:rPr>
        <w:t>E. 3</w:t>
      </w:r>
    </w:p>
    <w:p>
      <w:r>
        <w:t>Die Beschwerdeführerin bringt vor, die Vorinstanz habe Art. 1 Abs. 1 sowie Art. 7 Abs. 1 und 2 PatG in Verbindung mit Art. 35 Abs. 1 PatG verletzt, indem sie ihr (nur) ein Mitbenützungsrecht einräumte, anstatt von der Nichtigkeit des gemäss Eventualantrag eingeschränkten Anspruchs 1 des Klagepatents EP xxx mangels Neuheit gegenüber dem "Flyer C.________" auszugehen.</w:t>
      </w:r>
    </w:p>
    <w:p>
      <w:r>
        <w:rPr>
          <w:b/>
        </w:rPr>
        <w:t>E. 3.1</w:t>
      </w:r>
    </w:p>
    <w:p>
      <w:r>
        <w:t>Europäische Patente werden nach Art. 52 Abs. 1 EPÜ 2000 für Erfindungen auf allen Gebieten der Technik erteilt, sofern sie neu sind, auf einer erfinderischen Tätigkeit beruhen und gewerblich anwendbar sind (vgl. Art. 1 Abs. 1 PatG ). Eine Erfindung gilt als neu, wenn sie nicht zum Stand der Technik gehört ( Art. 54 Abs. 1 EPÜ 2000 und Art. 7 Abs. 1 PatG ). Stand der Technik bildet nach Art. 54 Abs. 2 EPÜ 2000 alles, was vor dem Anmeldetag der europäischen Patentanmeldung der Öffentlichkeit durch schriftliche oder mündliche Beschreibung, durch Benutzung oder in sonstiger Weise zugänglich gemacht worden ist (vgl. auch Art. 7 Abs. 2 PatG ). Nach Art. 35 Abs. 1 PatG ("Mitbenützungsrecht") kann das Patent demjenigen nicht entgegengehalten werden, der bereits vor dem Anmelde- oder Prioritätsdatum die Erfindung im guten Glauben im Inland gewerbsmässig benützt oder besondere Anstalten dazu getroffen hat.</w:t>
      </w:r>
    </w:p>
    <w:p>
      <w:r>
        <w:rPr>
          <w:b/>
        </w:rPr>
        <w:t>E. 3.2</w:t>
      </w:r>
    </w:p>
    <w:p>
      <w:r>
        <w:t>Die Beschwerdeführerin bringt zutreffend vor, dass sich mit dem von der Vorinstanz bejahten Mitbenützungsrecht die Frage nach der Abgrenzung von Art. 35 Abs. 1 PatG einerseits und Art. 1 Abs. 1 in Verbindung mit Art. 7 Abs. 1 PatG andererseits stellt, d.h. unter welchen Voraussetzungen die Vorbenützung zwar nicht die Neuheit ausschliesst, aber immerhin zu einem Mitbenützungsrecht führt. In der Lehre wird in diesem Zusammenhang zu Recht darauf hingewiesen, dass gewerbsmässige Benützungen oder besondere Anstalten dazu vor dem Anmelde- bzw. Prioritätsdatum im Sinne von Art. 35 Abs. 1 PatG in einer Weise erfolgt sein müssen, z.B. im Rahmen einer geheimen Offerte oder vertraulichen Zusammenarbeit, die nicht zu einer Veröffentlichung der eingesetzten erfindungsgemässen Lehre führt. Ansonsten wäre nämlich die Neuheit der Erfindung infolge offenkundiger Vorbenützung ( Art. 54 Abs. 2 EPÜ 2000 bzw. Art. 7 Abs. 2 PatG ) zerstört, womit sich das Mitbenützungsrecht nach Art. 35 Abs. 1 PatG erübrigen würde (CHRISTOPH GASSER, in: Schweizer/Zech [Hrsg.], Patentgesetz [PatG], Handkommentar, 2019, N. 3 zu Art. 35 PatG ; vgl. auch HILTI/KÖPF/STAUBER/CARREIRA, Schweizerisches und europäisches Patent- und Patentprozessrecht, 4. Aufl. 2021, S. 293; PETER HEINRICH, PatG/EPÜ, Kommentar, 3. Aufl. 2018, N. 3 zu Art. 35 PatG ; WERNER STIEGER, Die Schranken des Rechts aus dem Patent, in: Bertschinger/ Münch/Geiser [Hrsg.], Schweizerisches und europäisches Patentrecht, 2002, Rz. 12.264; PHILIPPE GILLIÉRON, in: Commentaire romand, Propriété intellectuelle, 2013, N. 21 zu Art. 35 PatG ). Die Vorinstanz hat diesem Verhältnis zwischen Mitbenützungsrecht und Neuheit der Erfindung keine Beachtung geschenkt. Sie ist von einem Mitbenützungsrecht ausgegangen, obwohl sie feststellte, die Beschwerdeführerin habe bereits 2005, also fünf Jahre vor dem Anmelde- bzw. Prioritätsdatum, ein Anschlusselement angeboten, das alle Merkmale des erteilten Anspruchs 1 des Klagepatents EP xxx verwirkliche. Mit ihrer Produktbroschüre "Flyer C.________" habe sie dieses Anschlusselement auch zum "vertikalen" Einbau zwischen einer Betondecke und einer Tragwand aus Beton angepriesen und habe diese Anschlusselemente auch hergestellt. Im Zusammenhang mit der Frage der Neuheit stellte die Vorinstanz ausserdem ausdrücklich fest, dass der fragliche "Flyer C.________" vor dem Prioritätsdatum der Öffentlichkeit zugänglich gemacht wurde. Aufgrund dieser tatsächlichen Feststellungen erscheint naheliegend, dass die strittige Erfindung vor dem Anmelde- oder Prioritätsdatum nicht nur im guten Glauben gewerbsmässig benützt ( Art. 35 Abs. 1 PatG ), sondern darüber hinaus der Öffentlichkeit durch schriftliche Beschreibung bzw. durch Benützung zugänglich gemacht worden war ( Art. 54 Abs. 2 EPÜ 2000 bzw. Art. 7 Abs. 2 PatG ).</w:t>
      </w:r>
    </w:p>
    <w:p>
      <w:r>
        <w:rPr>
          <w:b/>
        </w:rPr>
        <w:t>E. 3.3</w:t>
      </w:r>
    </w:p>
    <w:p>
      <w:r>
        <w:t>Nachdem die Vorinstanz die Neuheit der Erfindung gemäss erteiltem Anspruch 1 des Klagepatents EP xxx gegenüber verschiedenen Entgegenhaltungen - unter anderem auch gegenüber dem "Flyer C.________" - bereits verneint hatte, liessen sich die klägerischen Begehren mangels Rechtsbeständigkeit des erteilten Anspruchs nicht mehr auf diesen stützen. Sie prüfte und bejahte daher die Verletzungshandlungen der Beschwerdeführerin ausgehend von Anspruch 1 des Klagepatents EP xxx gemäss Eventualantrag. Entsprechend musste sich auch die daran anschliessende Prüfung eines Mitbenützungsrechts auf den gemäss Eventualantrag eingeschränkten Anspruch von EP xxx beziehen. Die Beschwerdeführerin beruft sich zu Recht darauf, dass die Vorbenützung nach den Sachverhaltsfeststellungen im angefochtenen Entscheid öffentlich war. Mit ihr ist davon auszugehen, dass die Vorinstanz ausgehend vom "Flyer C.________" nicht nur ein Mitbenützungsrecht hätte einräumen dürfen, sondern aufgrund der in diesem Zusammenhang festgestellten öffentlichen Benützung bereits im Jahre 2005 auch die Neuheit in Bezug auf den gemäss Eventualantrag eingeschränkten Anspruch 1 des Klagepatents EP xxx hätte prüfen müssen. Die Vorinstanz gesteht in ihrer Vernehmlassung selber die Widersprüchlichkeit eines Urteils ein, das ein Mitbenützungsrecht gestützt auf eine öffentlich zugängliche Entgegenhaltung einräumt. Ihr kann jedoch nicht gefolgt werden, wenn sie anschliessend vorbringt, prozessrechtliche Gründe hätten einer Neuheitsprüfung entgegengestanden. Ausgehend von den von der Vorinstanz im Hinblick auf das Mitbenützungsrecht festgestellten Sachverhaltselementen wäre eine solche Prüfung in Nachachtung des Grundsatzes der Rechtsanwendung von Amtes wegen ( Art. 57 ZPO ) geboten gewesen. Abgesehen davon ist die Feststellung im angefochtenen Entscheid unzutreffend, die Beschwerdeführerin habe nicht behauptet, dass der (erste) Eventualanspruch des Klagepatents EP xxx nicht neu sei, sondern mache ausschliesslich fehlende erfinderische Tätigkeit geltend. Die Beschwerdeführerin hat sich auf die - bereits von der Gegenpartei thematisierte - Neuheitsschädlichkeit des "Flyer C.________" in der Duplik (Rz. 226 ff.) für das Klagepatent EP xxx generell (vgl. bereits den Titel "3. Eventuell: Keine Rechtsbeständigkeit von EP xxx mangels Neuheit wegen Flyer C.________") und dabei ausdrücklich auch unter Bezugnahme auf den Eventualantrag der Beschwerdegegnerin berufen. Nachdem die Vorinstanz im Zusammenhang mit dem Mitbenützungsrecht nicht im Einzelnen ausführte, inwiefern mit der Verwendung des von der Beschwerdeführerin bereits im Jahre 2005 angebotenen Anschlusselements alle Merkmale des gemäss Eventualantrag eingeschränkten Anspruchs 1 von EP xxx verwirklicht werden, sondern sie sich vielmehr ausdrücklich auf den erteilten Anspruch 1 des Klagepatents bezog, kann aufgrund des eingeräumten Mitbenützungsrechts - entgegen den Vorbringen in der Beschwerde - nicht unbesehen auf die fehlende Neuheit der Erfindung gemäss Eventualanspruch geschlossen werden. Die Vorinstanz hat die Neuheit der Erfindung gemäss Eventualanspruch von EP xxx - wie sich erwiesen hat, zu Unrecht - nicht geprüft, womit auch die entsprechenden Einwände der Beschwerdegegnerin unbeachtet blieben. Dies ist nach erfolgter Rückweisung zur Wahrung des Gehörsanspruchs ( Art. 53 Abs. 1 ZPO und Art. 29 Abs. 2 BV ) nachzuholen, um den beschriebenen inneren Widerspruch im angefochtenen Entscheid aufzulösen. Sollte sich der gemäss Eventualantrag eingeschränkte Anspruch 1 des Klagepatents EP xxx als nicht rechtsbeständig erweisen, wäre ausserdem die Rechtsbeständigkeit des gemäss Subeventualantrag (ev. Subsubeventualantrag) eingeschränkten Anspruchs 1 von EP xxx zu prüfen.</w:t>
      </w:r>
    </w:p>
    <w:p>
      <w:r>
        <w:rPr>
          <w:b/>
        </w:rPr>
        <w:t>E. 4</w:t>
      </w:r>
    </w:p>
    <w:p>
      <w:r>
        <w:t>In teilweiser Gutheissung der Beschwerde ist das Teilurteil des Bundespatentgerichts vom 17. August 2022 aufzuheben und die Sache ist zu neuer Beurteilung an die Vorinstanz zurückzuweisen. 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