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4A_420/2024 vom 11. Februar 2025</w:t>
      </w:r>
    </w:p>
    <w:p>
      <w:r>
        <w:t>Bundesgericht, 2025-02-11, FR</w:t>
      </w:r>
    </w:p>
    <w:p>
      <w:r>
        <w:rPr>
          <w:b/>
        </w:rPr>
        <w:t xml:space="preserve">Quelle: </w:t>
      </w:r>
      <w:r>
        <w:t>https://mcp.opencaselaw.ch/entscheid/bger_4A_420_2024</w:t>
      </w:r>
    </w:p>
    <w:p>
      <w:r>
        <w:t>FR: TF 4A_420/2024 du 11 février 2025</w:t>
      </w:r>
    </w:p>
    <w:p>
      <w:r>
        <w:t>IT: TF 4A_420/2024 del 11 febbraio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46 al. 1 let. b et 100 al. 1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(art. 105 al 2 LTF).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 264 consid. 2.3).</w:t>
      </w:r>
    </w:p>
    <w:p>
      <w:r>
        <w:rPr>
          <w:b/>
        </w:rPr>
        <w:t>E. 3</w:t>
      </w:r>
    </w:p>
    <w:p>
      <w:r>
        <w:t>La recourante se plaint d'une violation de l' art. 312 al. 1 CPC et de son droit d'être entendue ( art. 29 al. 2 Cst. ). Elle fait valoir que l'appel aurait dû être notifié à la partie adverse pour détermination alors que l'appel n'était pas manifestement infondé.</w:t>
      </w:r>
    </w:p>
    <w:p>
      <w:r>
        <w:t>Le grief soulevé est singulier. On ne voit pas en quoi la recourante disposerait d'un intérêt digne de protection ( art. 76 al. 1 let. b LTF ) à sa critique. En effet, la recourante était l'appelante devant la cour cantonale de sorte que seul l'intimé pouvait se prévaloir d'un intérêt à se déterminer sur l'appel. Dans la mesure où l'appel a été rejeté, l'intimé n'a subi aucun préjudice. Faute pour la recourante de disposer d'un quelconque intérêt, son grief est irrecevable.</w:t>
      </w:r>
    </w:p>
    <w:p>
      <w:r>
        <w:rPr>
          <w:b/>
        </w:rPr>
        <w:t>E. 4</w:t>
      </w:r>
    </w:p>
    <w:p>
      <w:r>
        <w:t>La recourante se plaint d'une violation des art. 8 CC , 55 al. 1, 152, 157 et 316 CPC et du principe d'égalité ( art. 8 al. 1 Cst. ).</w:t>
      </w:r>
    </w:p>
    <w:p>
      <w:r>
        <w:rPr>
          <w:b/>
        </w:rPr>
        <w:t>E. 4.1</w:t>
      </w:r>
    </w:p>
    <w:p>
      <w:r>
        <w:t>La recourante ne formule aucun développement juridique en lien avec les dispositions précitées. Sur de longues pages de son mémoire de recours, elle se livre à un libre exposé de sa vision des faits. Une telle démarche, appellatoire, est irrecevable. La recourante s'en prend à l'expertise en mettant en exergue que l'expert s'est livré à une analyse juridique, ce qui n'est pas son rôle. La cour d'appel a mis en avant le caractère complet de l'expertise, tout en relevant que l'expert s'était avancé sur quelques aspects relevant du droit, ce qui n'enlevait pas de valeur à son rapport (arrêt attaqué p. 21). La cour cantonale a donc fait la part des choses et la recourante n'articule aucun argument susceptible de mettre en cause la validité des conclusions de l'expertise. La recourante est d'avis qu'un complément d'expertise aurait dû être ordonné. La cour d'appel n'est pas entrée en matière, respectivement a rejeté ce grief, considérant l'expertise comme complète (arrêt attaqué p. 17/18). La recourante se limite à des généralités et à opposer là encore sa vision, dans une démarche appellatoire, partant irrecevable. La recourante fait aussi valoir qu'elle n'aurait pas pu se déterminer sur des pièces remises à l'expert. Un tel grief ne ressort pas de l'arrêt attaqué et la recourante n'établit pas qu'elle l'aurait valablement soulevé en instance d'appel. Son grief est ainsi irrecevable faute d'épuisement des instances (</w:t>
      </w:r>
    </w:p>
    <w:p>
      <w:r>
        <w:t>supra consid. 2.1).</w:t>
      </w:r>
    </w:p>
    <w:p>
      <w:r>
        <w:rPr>
          <w:b/>
        </w:rPr>
        <w:t>E. 4.2</w:t>
      </w:r>
    </w:p>
    <w:p>
      <w:r>
        <w:t>La recourante fait grand cas des écrits de l'intimé (pièces 100 à 103), en particulier la facture finale du 5 janvier 2017, par laquelle il a donné quittance pour solde de tout compte à la recourante. Elle se prévaut aussi d'une violation des art. 18 et 88 CO . La cour cantonale n'a pas omis ces éléments qu'elle a dûment mentionnés (arrêt attaqué p. 5/6). Autre est la question de savoir quelle portée donner à ces éléments (</w:t>
      </w:r>
    </w:p>
    <w:p>
      <w:r>
        <w:t>infra consid. 5.6).</w:t>
      </w:r>
    </w:p>
    <w:p>
      <w:r>
        <w:rPr>
          <w:b/>
        </w:rPr>
        <w:t>E. 5</w:t>
      </w:r>
    </w:p>
    <w:p>
      <w:r>
        <w:t>La recourante se prévaut d'une violation de l' art. 373 CO .</w:t>
      </w:r>
    </w:p>
    <w:p>
      <w:r>
        <w:rPr>
          <w:b/>
        </w:rPr>
        <w:t>E. 5.1.1</w:t>
      </w:r>
    </w:p>
    <w:p>
      <w:r>
        <w:t>Les parties étaient liées par un contrat d'architecte global, les prestations à fournir par l'intimé portant non seulement sur la planification, mais également sur la direction des travaux. Il s'agit là d'un contrat mixte, soumis aux règles du mandat ou à celles du contrat d'entreprise selon les prestations de l'architecte en cause ( ATF 134 III 361 consid. 5.1 et 6.2.2).</w:t>
      </w:r>
    </w:p>
    <w:p>
      <w:r>
        <w:t>L' art. 373 CO est applicable lorsque les parties sont convenues d'une rémunération forfaitaire (arrêt 4C.259/2006 du 23 octobre 2006 consid. 2).</w:t>
      </w:r>
    </w:p>
    <w:p>
      <w:r>
        <w:rPr>
          <w:b/>
        </w:rPr>
        <w:t>E. 5.1.2</w:t>
      </w:r>
    </w:p>
    <w:p>
      <w:r>
        <w:t>À teneur de l' art. 373 CO ,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w:t>
      </w:r>
    </w:p>
    <w:p>
      <w:r>
        <w:t>Une exception au prix forfaitaire peut intervenir en cas de modification de commande. Le prix ferme arrêté par les parties n'est, en effet, déterminant que pour l'ouvrage alors projeté, sans modifications qualitatives ou quantitatives. Les modifications de commande donnent droit à une augmentation du prix en cas de prestations supplémentaires de l'entrepreneur, rémunération qui se calcule, sauf convention contraire, sur la base de l' art. 374 CO , c'est-à-dire en fonction de la valeur des matériaux utilisés et du travail effectué ( ATF 113 II 513 consid. 3b; arrêts 4A_156/2018 du 24 avril 2019 consid. 4.2.3; 4A_433/2017 du 29 janvier 2018 consid. 3.1.2).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(arrêt 4A_156/2018</w:t>
      </w:r>
    </w:p>
    <w:p>
      <w:r>
        <w:t>ibidem ).</w:t>
      </w:r>
    </w:p>
    <w:p>
      <w:r>
        <w:rPr>
          <w:b/>
        </w:rPr>
        <w:t>E. 5.2</w:t>
      </w:r>
    </w:p>
    <w:p>
      <w:r>
        <w:t>La cour cantonale a observé qu'il ne faisait pas de doute que le contrat conclu entre les parties le 14 novembre 2013 prévoyait un montant d'honoraires forfaitaire. En outre, il ressortait du texte clair de ce contrat que les honoraires forfaitaires étaient calculés en fonction de l'estimatif du coût du projet annexé audit contrat (art. 5). Pour la cour, c'est à raison que les premiers juges ont considéré que le montant des honoraires forfaitaire avait été convenu directement en fonction du coût du projet, ce qu'a d'ailleurs attesté l'expert.</w:t>
      </w:r>
    </w:p>
    <w:p>
      <w:r>
        <w:rPr>
          <w:b/>
        </w:rPr>
        <w:t>E. 5.3</w:t>
      </w:r>
    </w:p>
    <w:p>
      <w:r>
        <w:t>La cour cantonale a retenu que les parties avait convenu d'une modification du projet, ce qui justifiait les honoraires supplémentaires.</w:t>
      </w:r>
    </w:p>
    <w:p>
      <w:r>
        <w:rPr>
          <w:b/>
        </w:rPr>
        <w:t>E. 5.3.1</w:t>
      </w:r>
    </w:p>
    <w:p>
      <w:r>
        <w:t>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4A_342/2023 du 5 juin 2024 consid. 5.1).</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w:t>
      </w:r>
    </w:p>
    <w:p>
      <w:r>
        <w:t>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Ill 93 consid. 5.2.3).</w:t>
      </w:r>
    </w:p>
    <w:p>
      <w:r>
        <w:rPr>
          <w:b/>
        </w:rPr>
        <w:t>E. 5.3.2</w:t>
      </w:r>
    </w:p>
    <w:p>
      <w:r>
        <w:t>L'expertise a en l'occurrence démontré que le coût du projet avait significativement augmenté, passant de 19'061'234 fr. 40 au moment de la conclusion du contrat à 25'639'865 fr. à la fin des travaux. L'expert a spécifiquement exposé que les nombreuses modifications du projet ayant été apportées en cours de réalisation, soit notamment les travaux de maçonnerie, les installations électriques, les menuiseries, les équipements d'exploitation, les aménagements extérieurs, les divers et les imprévus, avaient fait l'objet de multiples détails d'exécution. Ces modifications avaient été étudiées, dessinées et intégrées dans les plans généraux d'exécution. Elles avaient en outre nécessité une coordination avec les autres mandataires ainsi qu'une surveillance des travaux sur le chantier. Selon l'expert, il était évident que ces modifications et ces ajouts, dont l'évolution était portée à la connaissance de la recourante, avaient généré des prestations d'architecte complémentaires qui ne pouvaient être réfutées et qui ne pouvaient être comprises dans le montant forfaitisé, l'intimé ayant informé la recourante à plusieurs reprises, certes oralement, du surplus de prestations qu'il était amené à réaliser. La cour cantonale a considéré qu'il s'agissait d'une modification de commande par rapport à l'objet du contrat initialement convenu, ce qui constituait une exception à la rémunération forfaitaire de l'architecte. La recourante avait en effet notablement modifié le projet initial notamment par l'augmentation de son volume, l'ajout d'escaliers, la modification des avant-toits, des aménagements extérieurs et intérieurs. Ces modifications étaient importantes par rapport au projet initial puisqu'elles avaient eu pour corollaire une augmentation des coûts de construction de plus de 6 millions de francs et un allongement de la durée des travaux de plus d'une année. Malgré l'importance de la construction en cause, un accroissement de 34,5 % des coûts était notable et n'était évidemment pas prévu dans l'estimatif des coûts du projet initial annexé au contrat, sur lequel les parties s'étaient basées pour arrêter les honoraires forfaitaires de l'intimé.</w:t>
      </w:r>
    </w:p>
    <w:p>
      <w:r>
        <w:t>La cour cantonale a considéré que l'argument de la recourante selon lequel les modifications en cause ne concernaient pas l'intimé, qui n'avait exécuté aucune prestation complémentaire, n'était prouvé par aucune pièce et tendait à la mauvaise foi. En effet, l'expertise relevait que les modifications ordonnées avaient donné lieu à un surplus de prestations de la part de l'architecte, soit l'étude des modifications demandées, les dessins et l'intégration dans les plans d'exécution, de même que les mises à l'enquête, la coordination avec les autres mandataires et la surveillance. Si la recourante se prévalait d'avoir effectué elle-même des aménagements intérieurs, elle ne contestait pas que les tâches susmentionnées aient été effectuées par l'intimé, qui ne pouvait s'obliger à effectuer des prestations d'une telle ampleur gratuitement contrairement à ce que la recourante semble penser. La cour a encore ajouté qu'en commandant, respectivement en acceptant, les prestations supplémentaires de l'architecte pour la construction du chalet, la recourante avait tacitement renoncé à ce que la forme écrite s'applique aux modifications du contrat (arrêt attaqué p. 29/30).</w:t>
      </w:r>
    </w:p>
    <w:p>
      <w:r>
        <w:rPr>
          <w:b/>
        </w:rPr>
        <w:t>E. 5.4</w:t>
      </w:r>
    </w:p>
    <w:p>
      <w:r>
        <w:t>Il apparaît ainsi que la cour cantonale a écarté les arguments de la recourante selon qui les modifications du projet ne concernaient pas l'intimé mais a au contraire retenu que celui-ci s'était engagé dans des prestations de grande ampleur ce que la recourante savait. La recourante se contente d'indiquer que les prestations ont pour l'essentiel été effectuées par son ayant droit D.________. Cette simple affirmation est inapte à établir un quelconque arbitraire dans l'appréciation de la cour cantonale quant à l'intervention substantielle de l'intimé en sus du projet initial.</w:t>
      </w:r>
    </w:p>
    <w:p>
      <w:r>
        <w:rPr>
          <w:b/>
        </w:rPr>
        <w:t>E. 5.5</w:t>
      </w:r>
    </w:p>
    <w:p>
      <w:r>
        <w:t>Même si l'arrêt attaqué n'est pas d'une grande clarté quant à la méthodologie suivie entre interprétation subjective et objective, on comprend néanmoins de la motivation que la cour cantonale a déterminé ce que les parties avaient réellement voulu. La recourante avait souhaité apporter des modifications substantielles d'un surcoût de 6 millions et allongeant d'une année les travaux, et elle avait commandé et accepté des prestations supplémentaires de l'intimé. En recherchant et établissant la réelle et commune intention des parties conformément à l' art. 18 al. 1 CO , c'est-à-dire leur volonté subjective, la cour cantonale a tranché une question de fait (</w:t>
      </w:r>
    </w:p>
    <w:p>
      <w:r>
        <w:t>supra consid. 5.3.1). La recourante se plaint certes d'arbitraire ( art. 9 Cst. ) dans l'appréciation des preuves en se référant en particulier aux pièces 100 à 103. Ce faisant, elle expose librement sa vision mais ne tient nullement compte de l'approche de la cour cantonale pour laquelle ces pièces concernent le projet initial mais non les éléments subséquents qui sous-tendent une modification de la commande initiale. Elle n'établit aucun arbitraire de la part de la cour cantonale.</w:t>
      </w:r>
    </w:p>
    <w:p>
      <w:r>
        <w:rPr>
          <w:b/>
        </w:rPr>
        <w:t>E. 5.6</w:t>
      </w:r>
    </w:p>
    <w:p>
      <w:r>
        <w:t>Il résulte de ce qui précède que la cour cantonale a retenu que l'on était en présence d'une modification de la commande. Cela permettait de s'écarter du prix forfaitaire (</w:t>
      </w:r>
    </w:p>
    <w:p>
      <w:r>
        <w:t>supra consid. 5.1.2). En ce sens, la quittance de l'intimé pour solde de tout compte ne concerne que la partie initiale du contrat et c'est en vain que la recourante s'en prévaut (</w:t>
      </w:r>
    </w:p>
    <w:p>
      <w:r>
        <w:t>supra consid. 4.2). On ne perçoit aucune violation du droit fédéral dans l'approche retenue par la cour cantonale. Pour le reste, la recourante ne remet pas en cause la détermination du montant octroyé.</w:t>
      </w:r>
    </w:p>
    <w:p>
      <w:r>
        <w:rPr>
          <w:b/>
        </w:rPr>
        <w:t>E. 6</w:t>
      </w:r>
    </w:p>
    <w:p>
      <w:r>
        <w:t>Le recours doit être rejeté dans la mesure de sa recevabilité. La recourante supporte les frais de procédure (art. 66 al. 1 L TF) et doit verser des dépens à l'intimé (art. 68 al. 1 et 2 L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