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4A_418/2021 vom 18. Januar 2022</w:t>
      </w:r>
    </w:p>
    <w:p>
      <w:r>
        <w:t>Bundesgericht, 2022-01-18, FR</w:t>
      </w:r>
    </w:p>
    <w:p>
      <w:r>
        <w:rPr>
          <w:b/>
        </w:rPr>
        <w:t xml:space="preserve">Quelle: </w:t>
      </w:r>
      <w:r>
        <w:t>https://mcp.opencaselaw.ch/entscheid/bger_4A_418_2021</w:t>
      </w:r>
    </w:p>
    <w:p>
      <w:r>
        <w:t>FR: TF 4A_418/2021 du 18 janvier 2022</w:t>
      </w:r>
    </w:p>
    <w:p>
      <w:r>
        <w:t>IT: TF 4A_418/2021 del 18 gennaio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Dans son mémoire adressé au Tribunal fédéral, la recourante a employé le français. Conformément à sa pratique (cf. ATF 142 III 521 consid. 1), le Tribunal fédéral rendra son arrêt dans la langue du recours, c'est-à-dire le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En l'espèce, le siège du tribunal arbitral se trouve à Genève. Aucune des parties n'avait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voire une sentence préjudicielle ou incidente, qui règle une ou plusieurs questions préalables de fond ou de procédure (sur ces notions, cf. l' ATF 130 III 755 consid. 1.2.1).</w:t>
      </w:r>
    </w:p>
    <w:p>
      <w:r>
        <w:t>Les sentences partielles et les sentences finales ne sont soumises à aucune restriction quant aux motifs susceptibles d'être invoqués dans un recours dirigé contre elles ( ATF 142 III 284 consid. 1.1.1).</w:t>
      </w:r>
    </w:p>
    <w:p>
      <w:r>
        <w:t>En vertu de l' art. 190 al. 3 LDIP , la décision incidente ne peut être attaquée directement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 La possibilité de recourir contre une sentence incidente ou préjudicielle ne dépend pas des conditions posées à l' art. 93 al. 1 LTF puisque l' art. 77 al. 2 LTF exclut, dans le recours en matière d'arbitrage international, l'application des art. 90 à 98 LTF ( ATF 143 III 462 consid. 3.2.2).</w:t>
      </w:r>
    </w:p>
    <w:p>
      <w:r>
        <w:rPr>
          <w:b/>
        </w:rPr>
        <w:t>E. 3.2</w:t>
      </w:r>
    </w:p>
    <w:p>
      <w:r>
        <w:t>En l'espèce, la sentence entreprise ne présente pas un caractère final puisqu'elle a été rendue dans le cadre d'une procédure arbitrale qui va se poursuivre, indépendamment du sort réservé au présent recours.</w:t>
      </w:r>
    </w:p>
    <w:p>
      <w:r>
        <w:rPr>
          <w:b/>
        </w:rPr>
        <w:t>E. 3.3</w:t>
      </w:r>
    </w:p>
    <w:p>
      <w:r>
        <w:t>Dans son mémoire, la recourante soutient, sans être contredite par les intimés, que le tribunal arbitral a rendu une sentence partielle.</w:t>
      </w:r>
    </w:p>
    <w:p>
      <w:r>
        <w:rPr>
          <w:b/>
        </w:rPr>
        <w:t>E. 3.4</w:t>
      </w:r>
    </w:p>
    <w:p>
      <w:r>
        <w:t>En l'occurrence, le Tribunal arbitral a arrêté, dans la sentence entreprise, le montant des pertes subies par l'intimée jusqu'au 31 décembre 2016, tout en réservant l'examen d'éventuels dommages postérieurs à cette date à une phase ultérieure de la procédure. Ce faisant, il a tranché une partie quantitativement limitée des prétentions litigieuses. On peut ainsi admettre qu'il a rendu une sentence partielle, quand bien même il a décidé de statuer ultérieurement sur le taux des intérêts afférents au montant arrêté au titre des pertes subies jusqu'au 31 décembre 2016 et qu'il n'a ainsi, formellement, pas réglé de manière exhaustive la question relative aux dommages-intérêts couvrant la période allant jusqu'au 31 décembre 2016, étant précisé que la notion contractuelle de pertes (" Losses ") inclut, selon le SPA, également les intérêts sur les pertes subies (cf., à cet égard, la lettre e du dispositif et les n. 838-840 de la sentence entreprise). Il y a lieu, dès lors, d'entrer en matière sur le recours.</w:t>
      </w:r>
    </w:p>
    <w:p>
      <w:r>
        <w:rPr>
          <w:b/>
        </w:rPr>
        <w:t>E. 4</w:t>
      </w:r>
    </w:p>
    <w:p>
      <w:r>
        <w:t>Dans un unique moyen, la recourante, invoquant l' art. 190 al. 2 let . e LDIP, dénonce une atteinte à l'ordre public matériel. Elle reproche aux arbitres d'avoir statué selon les règles de l'équité au lieu d'appliquer le droit matériel italien.</w:t>
      </w:r>
    </w:p>
    <w:p>
      <w:r>
        <w:rPr>
          <w:b/>
        </w:rPr>
        <w:t>E. 4.1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rPr>
          <w:b/>
        </w:rPr>
        <w:t>E. 4.1.1</w:t>
      </w:r>
    </w:p>
    <w:p>
      <w:r>
        <w:t>Selon la jurisprudence du Tribunal fédéral, l'usurpation du pouvoir de statuer en équité constitue une irrégularité qui relève tout au plus de l' art. 190 al. 2 let . e LDIP encore que ce dernier point soit controversé (arrêts 4A_14/2012 du 2 mai 2012 consid. 3.2.2 non publié in ATF 138 III 270 ; 4A_525/2017 du 9 août 2018 consid. 3.3.1). Point n'est toutefois besoin d'examiner plus avant cette question, dès lors que le moyen soulevé se révèle de toute manière infondé.</w:t>
      </w:r>
    </w:p>
    <w:p>
      <w:r>
        <w:rPr>
          <w:b/>
        </w:rPr>
        <w:t>E. 4.2</w:t>
      </w:r>
    </w:p>
    <w:p>
      <w:r>
        <w:t>L'intéressée fait, en substance, grief aux arbitres de lui avoir imputé les actions et omissions d'employés de la société F.________, nonobstant l'absence de relations juridiques liant ceux-ci à la recourante, en se fondant sur la pratique en matière de fusions et acquisitions, sur le principe "</w:t>
      </w:r>
    </w:p>
    <w:p>
      <w:r>
        <w:t>respondeat superior " ainsi que sur l'expérience des membres du tribunal arbitral, faisant ainsi fi du droit matériel italien et allant même à l'encontre des règles prévues par celui-ci.</w:t>
      </w:r>
    </w:p>
    <w:p>
      <w:r>
        <w:rPr>
          <w:b/>
        </w:rPr>
        <w:t>E. 4.3</w:t>
      </w:r>
    </w:p>
    <w:p>
      <w:r>
        <w:t>Il saute aux yeux, à la lecture de l'argumentation purement appellatoire ainsi résumée, que la recourante, sous le couvert d'une prétendue usurpation du pouvoir de statuer en équité, cherche en réalité, par ce biais, à entraîner la Cour de céans sur le terrain de l'application du droit matériel et à l'inciter indirectement à se prononcer sur la motivation juridique retenue par les arbitres. Or, telle n'est pas la tâche du Tribunal fédéral lorsqu'il est saisi d'un recours en matière civile visant une sentence rendue dans le cadre d'un arbitrage international. Une telle tentative est ainsi vouée à l'échec.</w:t>
      </w:r>
    </w:p>
    <w:p>
      <w:r>
        <w:t>Au demeurant, la lecture des passages topiques de la sentence critiqués par la recourante, ainsi que des observations formulées par l'intimée permet aisément de constater que le Tribunal arbitral s'est fondé sur des considérations juridiques pour aboutir à la solution retenue et qu'il n'a ainsi pas quitté le domaine du droit pour entrer dans celui de l'équité. Comme le concède elle-même la recourante, le Tribunal arbitral a fait référence, sur le problème litigieux, à l'art. 1391 du Code civil italien et a procédé à une " analyse circonstanciée de la jurisprudence " rendue par la Cour suprême italienne à cet égard. Si les arbitres ont fait allusion à la pratique développée en matière de fusions et acquisitions, au principe "</w:t>
      </w:r>
    </w:p>
    <w:p>
      <w:r>
        <w:t>respondeat superio r " et à l'expérience des membres du tribunal arbitral, c'est uniquement pour étayer leur raisonnement au moment d'interpréter la disposition légale pertinente du droit matériel italien. Contrairement à ce que semble soutenir la recourante, on ne saurait y voir là une quelconque démonstration de ce que le Tribunal arbitral aurait statué en équité, sans y avoir été autorisé par les parties. L'intéressée fait en outre fausse route lorsqu'elle reproche au Tribunal arbitral d'avoir " fait dire aux dispositions légales et à la jurisprudence constante de référence retenue et expressément citée dans sa sentence comme pertinente et applicable, totalement autre chose, voire le contraire de ce qu'elles énoncent ". En argumentant de la sorte, elle critique en réalité la façon dont les arbitres ont interprété le droit matériel italien et les conséquences qu'ils en ont tirées. Or, c'est le lieu de rappeler ici que le moyen pris de l'incompatibilité avec l'ordre public matériel, au sens de l' art. 190 al. 2 let . e LDIP et de la jurisprudence y afférente, n'est pas recevable dans la mesure où il tend uniquement à établir la contrariété entre la sentence attaquée et les différentes normes du droit matériel applicable, et ce quel que puisse être le degré de cette contrariété, à la supposer établie.</w:t>
      </w:r>
    </w:p>
    <w:p>
      <w:r>
        <w:t>En tout état de cause, on relèvera enfin que la recourante s'en prend exclusivement à la motivation des arbitres mais ne démontre nullement en quoi le résultat auquel la sentence aboutit est incompatible avec l'ordre public matériel.</w:t>
      </w:r>
    </w:p>
    <w:p>
      <w:r>
        <w:t>Le moyen examiné s'avère ainsi infondé.</w:t>
      </w:r>
    </w:p>
    <w:p>
      <w:r>
        <w:rPr>
          <w:b/>
        </w:rPr>
        <w:t>E. 5</w:t>
      </w:r>
    </w:p>
    <w:p>
      <w:r>
        <w:t>Sur le vu de ce qui précède, le recours doit être rejeté dans la mesure où il est recevable. La recourante, qui succombe, supportera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