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418/2017 vom 8. Januar 2018</w:t>
      </w:r>
    </w:p>
    <w:p>
      <w:r>
        <w:t>Bundesgericht, 2018-01-08, DE</w:t>
      </w:r>
    </w:p>
    <w:p>
      <w:r>
        <w:rPr>
          <w:b/>
        </w:rPr>
        <w:t xml:space="preserve">Quelle: </w:t>
      </w:r>
      <w:r>
        <w:t>https://mcp.opencaselaw.ch/entscheid/bger_4A_418_2017</w:t>
      </w:r>
    </w:p>
    <w:p>
      <w:r>
        <w:t>FR: TF 4A 418/2017 du 8 janvier 2018</w:t>
      </w:r>
    </w:p>
    <w:p>
      <w:r>
        <w:t>IT: TF 4A 418/2017 del 8 gennaio 2018</w:t>
      </w:r>
    </w:p>
    <w:p>
      <w:pPr>
        <w:pStyle w:val="Heading2"/>
      </w:pPr>
      <w:r>
        <w:t>Regeste</w:t>
      </w:r>
    </w:p>
    <w:p>
      <w:r>
        <w:t>Haftpflichtrecht | Haftpflichtrecht</w:t>
      </w:r>
    </w:p>
    <w:p>
      <w:pPr>
        <w:pStyle w:val="Heading2"/>
      </w:pPr>
      <w:r>
        <w:t>Erwägungen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Dieselben Begründungsanforderungen gelten auch für die Beschwerdeantwort ( BGE 140 III 86 E. 2 S. 89, 115 E. 2 S. 116; je mit Hinweis).</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 Die Beschwerdeführer stellen in ihrer Beschwerde zunächst den Sachverhalt und die Prozessgeschichte aus ihrer Sicht dar, ohne dabei die zuvor genannten Voraussetzungen zu beachten. Ihre Ausführungen unter dem entsprechenden Titel sind nicht zu berücksichtigen. Ebenso unbeachtlich sind die von ihnen in diesem Zusammenhang eingereichten Beilagen.</w:t>
      </w:r>
    </w:p>
    <w:p>
      <w:r>
        <w:rPr>
          <w:b/>
        </w:rPr>
        <w:t>E. 1.3</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Es gilt auch diesbezüglich das strenge Rügeprinzip nach Art. 106 Abs. 2 BGG .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2</w:t>
      </w:r>
    </w:p>
    <w:p>
      <w:r>
        <w:t>Die Beschwerdeführer beanstanden zunächst die Ermittlung der Versorgung im Haushaltsbereich, wie sie im kantonalen Verfahren erfolgt ist.</w:t>
      </w:r>
    </w:p>
    <w:p>
      <w:r>
        <w:rPr>
          <w:b/>
        </w:rPr>
        <w:t>E. 2.1</w:t>
      </w:r>
    </w:p>
    <w:p>
      <w:r>
        <w:t>Die Vorinstanz hielt dazu einleitend fest, die Erstinstanz habe die von ihr vorgenommene Berechnung detailliert erläutert und begründet; anschliessend gab sie diese zusammengefasst wieder. Die Kritik der Beschwerdeführer, die sie daran anbrächten, sei nur schwer nachvollziehbar. Diese setze nicht beim Vorgehen und der Begründung der Erstinstanz an, sondern bei deren Ergebnissen. Insbesondere werde nicht dargelegt, weshalb nicht auf die verwendeten Versorgungsquoten hätte abgestellt werden dürfen, weshalb die Rechnungsformel zur Ermittlung des Versorgungsausfalls unrichtig sein soll und weshalb die Verteilung des Versorgungsaufwands auf Mutter und Kinder nicht angemessen sein soll. Die Beschwerdeführer würden stattdessen pauschal auf das Berechnungsprogramm "Leonardo" verweisen, dessen angeblich anderslautenden Ergebnisse sie in der Rechtsschrift abdruckten, und würden sich ansonsten auf pauschale Vorwürfe beschränken. Den Anforderungen an eine ausreichende Begründung einer Berufung genüge dies nicht. In der Berufungsschrift werde unterlassen, die Fehlerhaftigkeit des angefochtenen Entscheids aufzuzeigen; sie beschränke sich auf eine pauschale Kritik und die Behauptung eigener Zahlen. Es bestehe daher kein Anlass, auf die nachvollziehbare Begründung der Erstinstanz zurückzukommen. Damit sei auch der Beweisantrag abzuweisen, wonach "eventuell" ein Gutachten bei der für das Berechnungsprogramm "Leonardo" verantwortlichen Gesellschaft einzuholen sei.</w:t>
      </w:r>
    </w:p>
    <w:p>
      <w:r>
        <w:rPr>
          <w:b/>
        </w:rPr>
        <w:t>E. 2.2</w:t>
      </w:r>
    </w:p>
    <w:p>
      <w:r>
        <w:t>In ihrer Beschwerde an das Bundesgericht tragen die Beschwerdeführer zunächst ihre bereits vorinstanzlich vorgebrachte Kritik an der erstinstanzlichen Berechnung erneut vor. Zum Vorwurf der ungenügenden Begründung ihrer Berufungsschrift halten sie fest, ihre Kritik sei keineswegs pauschal gewesen, sondern sie hätten für jede Berechnungsperiode und für jedes Kind die Abweichungen von SAKE 2013 detailliert aufgezeigt. Wenn in "einer rechnerischen Operation innerhalb einer Wertestruktur, wie es SAKE darstellt, aufgezeigt wird, dass das Ergebnis falsch ist, dann ist durchaus auch schlüssig dargelegt, dass die Berechnung falsch ist". Die Vorinstanz habe sich aber auf die Begründungshinweise der Erstinstanz verlassen, ohne ihre Berechnung überhaupt in Betracht zu ziehen. Wäre dem Beweisantrag, ein Gutachten zu den Berechnungsmethoden einzuholen, stattgegeben worden, wäre der Fehler der gerichtlichen Berechnung bestätigt worden. Wenn die Vorinstanz ihre Kritik als schwer nachvollziehbar einstufe, liege dieser Eindruck nicht an der Kritik, sondern an der Komplexität der Berechnung und an der fehlenden Bereitschaft, die Berechnung im Detail nachzuvollziehen. Umso mehr hätte dem Beweisantrag stattgegeben werden müssen. In der Nichtabnahme dieses Beweisantrags liege eine Verletzung des rechtlichen Gehörs.</w:t>
      </w:r>
    </w:p>
    <w:p>
      <w:r>
        <w:rPr>
          <w:b/>
        </w:rPr>
        <w:t>E. 2.3</w:t>
      </w:r>
    </w:p>
    <w:p>
      <w:r>
        <w:t>Um der in Art. 311 Abs. 1 ZPO verankerten Pflicht zur Begründung der Berufung Genüge zu tun, müssen die Berufungskläger aufzeigen, inwiefern sie den angefochtenen Entscheid als fehlerhaft erachten (zum Ganzen: BGE 138 III 374 E. 4.3.1 S. 375). Denn das zweitinstanzliche Verfahren zeichnet sich dadurch aus, dass bereits eine gerichtliche Beurteilung des Streits vorliegt. Entsprechend ist es an den Berufungsklägern, anhand der erstinstanzlich festgestellten Tatsachen oder der daraus gezogenen rechtlichen Schlüsse aufzuzeigen, inwiefern sich die Überlegungen des erstinstanzlichen Gerichts nicht aufrecht erhalten lassen (Urteil 5A_111/2016 vom 6. September 2016 E. 5.3 mit Hinweis). Die Berufungsinstanz verfügt zwar über eine vollständige Überprüfungsbefugnis der Streitsache. Sie ist aber nicht gehalten, den erstinstanzlichen Entscheid losgelöst von konkreten Anhaltspunkten in der Berufungsbegründung von sich aus in jede Richtung hin auf mögliche Mängel zu untersuchen, die eine Gutheissung des Rechtsmittels ermöglichen könnten (zit. Urteil 5A_111/2016 E. 5.3; Urteil 5A_635/2015 vom 21. Juni 2016 E. 5.2). Sie hat sich - abgesehen von offensichtlichen Mängeln - grundsätzlich auf die Beurteilung der in der schriftlichen Begründung ( Art. 311 Abs. 1 und Art. 312 Abs. 1 ZPO ) gegen das erstinstanzliche Urteil erhobenen Beanstandungen zu beschränken ( BGE 142 III 413 E. 2.2.4 S. 416 f. mit Hinweisen).</w:t>
      </w:r>
    </w:p>
    <w:p>
      <w:r>
        <w:rPr>
          <w:b/>
        </w:rPr>
        <w:t>E. 2.4</w:t>
      </w:r>
    </w:p>
    <w:p>
      <w:r>
        <w:t>Die Beschwerdeführer machen geltend, ihre in der Berufung vorgebrachte Kritik sei keineswegs pauschal gewesen. Auf die von der Vorinstanz hervorgehobenen Punkte, welche diese in der Berufungsschrift insbesondere vermisst hat, gehen die Beschwerdeführer jedoch nicht ein. Sie beharren vielmehr darauf, wenn aufgezeigt werde, dass das Ergebnis einer Berechnung falsch sei, damit auch schlüssig dargelegt sei, dass die Berechnung falsch sei. Dass sich aus einem unzutreffenden Ergebnis Rückschlüsse hinsichtlich der Fehlerhaftigkeit der diesem zu Grunde liegenden Berechnung ziehen lassen, mag zwar grundsätzlich zutreffen. Doch übersehen die Beschwerdeführer dabei, dass eben gerade noch nicht feststeht, dass das erstinstanzliche Ergebnis falsch und das ihrige richtig ist, sondern sie dies bloss behaupten. Allein indem sie ihrer Behauptung eine eigene Berechnung beilegen, in der sie zu einem anderen Ergebnis gelangen als die Erstinstanz, zeigen sie noch nicht auf, dass jenes falsch ist. Vielmehr wäre in der Begründung der Berufung darzulegen gewesen, weshalb und inwiefern das erstinstanzliche Ergebnis resp. die diesem zu Grunde liegende Berechnung unzutreffend - und nicht nur von der eigenen Berechnungsweise abweichend - ist.</w:t>
      </w:r>
    </w:p>
    <w:p>
      <w:r>
        <w:rPr>
          <w:b/>
        </w:rPr>
        <w:t>E. 3</w:t>
      </w:r>
    </w:p>
    <w:p>
      <w:r>
        <w:t>Die Beschwerdeführer rügen weiter, dass die kantonalen Instanzen die Leistungen der AHV zur Hälfte an den Haushaltsversorgungsschaden angerechnet haben anstatt vollumfänglich an den Versorgungsschaden aus Erwerbsausfall.</w:t>
      </w:r>
    </w:p>
    <w:p>
      <w:r>
        <w:rPr>
          <w:b/>
        </w:rPr>
        <w:t>E. 3.1</w:t>
      </w:r>
    </w:p>
    <w:p>
      <w:r>
        <w:t>Bezüglich des Versorgungsschadens hielt die Vorinstanz fest, es sei zu unterscheiden zwischen demjenigen aus weggefallenem Erwerb und demjenigen aus weggefallener Haushaltsführung. Personen, die ihren Versorger verloren hätten, stünden zusätzlich zum Anspruch gegen den Schädiger bzw. dessen Versicherung oftmals auch Ansprüche aus Sozialversicherungen zu (Hinterlassenenrenten). Soweit solche Versicherungen Leistungen erbrächten, träten sie von Gesetzes wegen gegenüber dem Haftpflichtigen in die entsprechenden Ansprüche der versicherten Person resp. ihrer Hinterlassenen ein. Eine solche Subrogation erfolge aber nur für "Leistungen gleicher Art". Es stelle sich daher die Frage, ob und in welchem Umfang die Schadenersatzansprüche mit den Leistungen der involvierten Sozialversicherungen (AHV, Unfallversicherung, Pensionskasse) sachlich kongruent und infolgedessen auf diese Versicherungen übergegangen seien. Nach eingehender Prüfung gelangte die Vorinstanz zum Schluss, die Leistungen der Unfallversicherung und der Pensionskasse seien nur zum Erwerbsversorgungsschaden sachlich kongruent, nicht auch zum Haushaltsversorgungsschaden. Bei Leistungen der AHV komme es auf den Erwerbsstatus der verstorbenen Person an. Da der Verstorbene zu 100 % erwerbstätig gewesen sei, dränge es sich hier auf, die AHV ausschliesslich auf den Erwerbsversorgungsschaden anzurechnen. Eine Poly- oder Omnikongruenz, wie von der Beschwerdegegnerin in ihrer Anschlussberufung verlangt, lehnte die Vorinstanz ab. Gleichwohl beanstandete die Vorinstanz nicht, dass die Erstinstanz die Leistungen der AHV hälftig an den Haushaltsversorgungsschaden angerechnet hatte. Denn die Beschwerdeführer hätten selber zunächst eine solch hälftige Anrechnung vertreten, insbesondere in der Klage, im zweiten Parteivortrag im beschränkten Verfahren und in ihrer Berufungsantwort betreffend den Zwischenentscheid. Erst im zweiten Parteivortrag vom März 2016 hätten sie diese Ansicht aufgegeben und neu vertreten, die Leistungen der AHV seien ausschliesslich auf den Erwerbsversorgungsschaden anzurechnen. Ob und gegebenenfalls in welchem Umfang die Sozialversicherungen in die Ansprüche der Beschwerdeführer eingetreten seien, sei zwar eine Rechtsfrage, und eine Partei sei nicht an ihre rechtliche Begründung gebunden, sondern könne diese im Rahmen des Streitgegenstands ändern, auswechseln oder auch ergänzen. Jedoch hätten die Beschwerdeführer betreffend Umfang der Subrogation nicht bloss einen Rechtsstandpunkt eingenommen. Vielmehr habe der Rechtsvertreter der Beschwerdeführer im erstinstanzlichen Verfahren ausgeführt, die Rechtslage bezüglich Anrechnung der AHV-Rente sei unklar. Er befürworte eine je hälftige Anrechnung dieser Rente auf den Versorgungsschaden aus Erwerb und denjenigen aus Haushaltsführung. Mit einer solchen Berechnung komme man der Beschwerdegegnerin entgegen, da man die AHV-Rente nicht gesamthaft an den Erwerbsversorgungsschaden anrechne. Diese Aussage stelle eine Disposition über den eingeklagten Anspruch dar - die unter dem Titel Versorgungsschaden aus Haushaltsführung eingeklagten Beträge seien um die Hälfte der AHV-Renten reduziert worden. Dieses Zugeständnis sei betragsmässig klar, unmissverständlich und in voller Kenntnis der Rechtslage erfolgt, entsprechend seien die Beschwerdeführer darauf zu behaften.</w:t>
      </w:r>
    </w:p>
    <w:p>
      <w:r>
        <w:rPr>
          <w:b/>
        </w:rPr>
        <w:t>E. 3.2</w:t>
      </w:r>
    </w:p>
    <w:p>
      <w:r>
        <w:t>Die Beschwerdeführer führen in ihrer Beschwerde dazu aus, es handle sich bei der "Frage nach dem massgebenden Berechnungsmodell [...] nicht um eine Parteidisposition gemäss Art. 55 Abs. 1 ZPO ", sondern um eine dem Gericht gemäss Art. 57 ZPO vorbehaltene Rechtsanwendung. Die Vorinstanz leite nun aus einem solitären Zitat aus einer Parteiverhandlung ab, sie hätten nicht bloss eine Rechtsauffassung vertreten, sondern eine Disposition über die eingeklagten Ansprüche vorgenommen. Selbstverständlich seien die Kürzungen betraglich eindeutig gewesen. Sie hätten ja auch ihre Anträge beziffern und diese mit einer Berechnung ermitteln müssen. Unbestritten sei, dass die Anträge binden seien, und insofern seien sie der Beschwerdegegnerin ja auch entgegengekommen. Wenn nun aber darüber hinaus in einem Haftpflichtprozess ein bindendes Zugeständnis abgeleitet werde, stehe dies im Widerspruch zur massgebenden Rechtslage und einschlägigen Lehre und Rechtsprechung. Dass die Rechtslage bezüglich der Anrechnungsmethode als ungewiss einzustufen gewesen sei, habe nicht nur für sie gegolten. Im Übrigen räume die Vorinstanz ein, dass der Lebenssachverhalt und das Klagefundament durch die Berechnungsmethode nicht betroffen seien.</w:t>
      </w:r>
    </w:p>
    <w:p>
      <w:r>
        <w:rPr>
          <w:b/>
        </w:rPr>
        <w:t>E. 3.3</w:t>
      </w:r>
    </w:p>
    <w:p>
      <w:r>
        <w:t>Die Vorinstanz stellte fest, dass die Beschwerdeführer im Rahmen des Prozesses eine Disposition über den eingeklagten Anspruch getroffen haben, indem sie die unter dem Titel Versorgungsschaden aus Haushaltsführung eingeklagten Beträge um die Hälfte der AHV-Renten reduzierten. Dabei handelt es sich um eine Feststellung des relevanten (Prozess) Sachverhalts, woran das Bundesgericht grundsätzlich gebunden ist (vgl. E. 1.2). Die Kritik der Beschwerdeführer, die sie dagegen vorbringen, genügt den Anforderungen an Willkürrügen nicht (vgl. E. 1.3), zumal sie nicht einmal die "massgebende[n] Rechtslage und einschlägige[n] Lehre und Rechtsprechung" näher bezeichnen, zu der die vorinstanzliche Sachverhaltsfeststellung angeblich im Widerspruch stehen soll. Abgesehen davon vermögen sie mit ihren Vorbringen ohnehin keine Willkür darzutun. Die Vorinstanz hat nicht verkannt, dass es sich dabei grundsätzlich um eine Rechtsfrage handelt und eine Partei nicht an ihre ursprüngliche rechtliche Begründung gebunden ist, sondern diese im Laufe des Verfahrens ändern kann. Sie kam aber zum Schluss, die Beschwerdeführer hätten nicht bloss ihre Rechtsauffassung geäussert, sondern in Kenntnis der (unsicheren) Rechtslage unmissverständlich und betragsmässig klar über den eingeklagten Anspruch disponiert. Die Beschwerdeführer mögen dies - zumindest im jetzigen Zeitpunkt - anders sehen, Willkür liegt deshalb aber noch nicht vor.</w:t>
      </w:r>
    </w:p>
    <w:p>
      <w:r>
        <w:rPr>
          <w:b/>
        </w:rPr>
        <w:t>E. 4</w:t>
      </w:r>
    </w:p>
    <w:p>
      <w:r>
        <w:t>Die Beschwerdeführer rügen schliesslich, die Vorinstanz habe die erstinstanzliche Verteilung der Prozesskosten (Halbierung der Gerichtskosten, Wettschlagung der Parteikosten) zu Unrecht bestätigt.</w:t>
      </w:r>
    </w:p>
    <w:p>
      <w:r>
        <w:rPr>
          <w:b/>
        </w:rPr>
        <w:t>E. 4.1.1</w:t>
      </w:r>
    </w:p>
    <w:p>
      <w:r>
        <w:t>Betreffend Gerichtskosten führte die Vorinstanz in ihrer Hauptbegründung aus, die Beschwerdeführer hätten beantragt, die Gerichtskosten seien "zum überwiegenden Teil", wenigstens aber zu 2/3, der Gegenseite aufzuerlegen, ihnen höchstens zu 1/3. Damit sei das Rechtsbegehren nicht genügend beziffert. Als Eventualbegründung hielt sie fest, es gehe bezüglich der Kostenverteilung nur noch um die nach dem Teilurteil verbleibenden Kosten (vgl. Sachverhalt B), was die Erstinstanz grundsätzlich richtig erkannt, bei der Gegenüberstellung der Beträge aber gleichwohl übergangen habe. Bezüglich der bislang noch nicht beurteilten Ansprüche lägen die Erfolgsquoten der Beschwerdeführer gestützt auf ihre eigenen Angaben zwischen 0 % und 5.8 %. Soweit in Anbetracht dessen überhaupt noch von einem "grundsätzlichen Obsiegen" gesprochen werden könne, sei die Halbierung der Gerichtskosten, welche mangels Anschlussberufung der Beschwerdegegnerin in diesem Punkt nicht zu Lasten der Beschwerdeführer geändert werden könne, mit Blick auf die relevanten Kriterien mehr als grosszügig.</w:t>
      </w:r>
    </w:p>
    <w:p>
      <w:r>
        <w:rPr>
          <w:b/>
        </w:rPr>
        <w:t>E. 4.1.2</w:t>
      </w:r>
    </w:p>
    <w:p>
      <w:r>
        <w:t>Betreffend Parteientschädigung kam die Vorinstanz zum Schluss, soweit die Beschwerdeführer bemängeln würden, es sei ihnen "für den ersten Verfahrensabschnitt vor Regionalgericht" keine Parteientschädigung zugesprochen worden, unterliessen sie auch hier eine Bezifferung ihres Begehrens. Als Eventualbegründung schloss sie sich den Erwägungen der Erstinstanz an. Diese habe zulässigerweise eine Gesamtbetrachtung vorgenommen. Aufgrund der von den Beschwerdeführern selbst ermittelten Erfolgsquoten von 13 %, 25 % resp. 28 % sei mit Blick auf die für die Verteilung wesentlichen Kriterien das Wettschlagen der Parteikosten angemessen.</w:t>
      </w:r>
    </w:p>
    <w:p>
      <w:r>
        <w:rPr>
          <w:b/>
        </w:rPr>
        <w:t>E. 4.2</w:t>
      </w:r>
    </w:p>
    <w:p>
      <w:r>
        <w:t>Die Beschwerdeführer machen in ihrer Beschwerde geltend, es sei nicht einzusehen, weshalb die "gewählte Bezifferung" unbestimmt sein soll. Diese erlaube sehr wohl, das Ausmass eines Obsiegens festzustellen, und entspreche dem Prinzip, dass die Kosten von Amtes wegen zuzuweisen seien. Hinsichtlich der Eventualbegründungen scheinen sie einfach ihre Vorbringen aus der Berufung vor Bundesgericht zu wiederholen; mit den vorinstanzlichen Erwägungen setzen sie sich jedenfalls nicht hinreichend auseinander. Solch appellatorische Kritik genügt den Rügeanforderungen nicht (E. 1.1). Abgesehen davon ist offenkundig, dass die Vorinstanz ihr weites, vom Bundesgericht nur mit Zurückhaltung zu überprüfendes Ermessen bei der Verlegung der Prozesskosten (vgl. etwa Urteil 4A_113/2017 vom 6. September 2017 E. 7.3 mit Hinweis) nicht zum Nachteil der Beschwerdeführer ausgeübt hat.</w:t>
      </w:r>
    </w:p>
    <w:p>
      <w:r>
        <w:rPr>
          <w:b/>
        </w:rPr>
        <w:t>E. 5</w:t>
      </w:r>
    </w:p>
    <w:p>
      <w:r>
        <w:t>Die Beschwerde ist nach dem Gesagten abzuweisen, soweit darauf einzutreten ist. Bei diesem Verfahrensausgang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