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4A_418/2008 vom 11. Februar 2009</w:t>
      </w:r>
    </w:p>
    <w:p>
      <w:r>
        <w:t>Bundesgericht, 2009-02-11, DE</w:t>
      </w:r>
    </w:p>
    <w:p>
      <w:r>
        <w:rPr>
          <w:b/>
        </w:rPr>
        <w:t xml:space="preserve">Quelle: </w:t>
      </w:r>
      <w:r>
        <w:t>https://mcp.opencaselaw.ch/entscheid/bger_4A_418_2008</w:t>
      </w:r>
    </w:p>
    <w:p>
      <w:r>
        <w:t>FR: TF 4A_418/2008 du 11 février 2009</w:t>
      </w:r>
    </w:p>
    <w:p>
      <w:r>
        <w:t>IT: TF 4A_418/2008 del 11 febbraio 2009</w:t>
      </w:r>
    </w:p>
    <w:p>
      <w:pPr>
        <w:pStyle w:val="Heading2"/>
      </w:pPr>
      <w:r>
        <w:t>Erwägungen</w:t>
      </w:r>
    </w:p>
    <w:p>
      <w:r>
        <w:rPr>
          <w:b/>
        </w:rPr>
        <w:t>E. 1</w:t>
      </w:r>
    </w:p>
    <w:p>
      <w:r>
        <w:t>Nach der bundesgerichtlichen Rechtsprechung hat die Partei, der eine Vernehmlassung oder eine Beschwerdeantwort zur blossen Kenntnisnahme übermittelt worden ist, umgehend zu reagieren, wenn sie sich nochmals zur Sache äussern will ( BGE 133 I 98 E. 2.2, 100 E. 4.8). Eine Replik kann jedoch nicht dazu dienen, die Beschwerdeschrift zu ergänzen oder unzulässige Noven einzureichen (vgl. Art. 99 Abs. 1 BGG ).</w:t>
      </w:r>
    </w:p>
    <w:p>
      <w:r>
        <w:t>Die Eingabe der Beschwerdeführerin vom 5. Februar 2009, in der sie sich zur Praxis der Auswahl der Handelsrichter äussert und zu diesem Thema drei Zeitungsartikel sowie die Zusammenfassung eines Aufsatzes einreicht, erscheint vielmehr als Ergänzung der Beschwerde denn als Antwort auf die Ausführungen in der Vernehmlassung der Beschwerdegegnerin, weshalb ihre Zulässigkeit fraglich ist. Die Replik ändert indessen ohnehin nichts daran, dass auf das Rechtsbegehren, auf das sich die Ausführungen in der Replik beziehen, wegen Neuheit nicht eingetreten werden kann (vgl. Erwägung 2.1).</w:t>
      </w:r>
    </w:p>
    <w:p>
      <w:r>
        <w:rPr>
          <w:b/>
        </w:rPr>
        <w:t>E. 2</w:t>
      </w:r>
    </w:p>
    <w:p>
      <w:r>
        <w:t>Das Bundesgericht prüft von Amtes wegen und mit freier Kognition, ob ein Rechtsmittel zulässig ist ( BGE 134 III 115 E. 1 S. 117, 379 E. 1 S. 381, 520 E. 1).</w:t>
      </w:r>
    </w:p>
    <w:p>
      <w:r>
        <w:rPr>
          <w:b/>
        </w:rPr>
        <w:t>E. 2.1</w:t>
      </w:r>
    </w:p>
    <w:p>
      <w:r>
        <w:t>Zunächst ist festzuhalten, dass das unter lit. a) gestellte Rechtsbegehren neu ist und daher von vornherein darauf nicht eingetreten werden kann ( Art. 99 Abs. 2 BGG ).</w:t>
      </w:r>
    </w:p>
    <w:p>
      <w:r>
        <w:rPr>
          <w:b/>
        </w:rPr>
        <w:t>E. 2.2</w:t>
      </w:r>
    </w:p>
    <w:p>
      <w:r>
        <w:t>Der angefochtene Beschluss der Verwaltungskommission des Obergerichts bildet einen selbständig eröffneten Zwischenentscheid über ein Ausstandsbegehren. Gegen einen solchen Zwischenentscheid ist die Beschwerde in Zivilsachen grundsätzlich zulässig ( Art. 92 BGG ). Sie wurde vorliegend rechtzeitig erhoben ( Art. 100 Abs. 6 BGG ).</w:t>
      </w:r>
    </w:p>
    <w:p>
      <w:r>
        <w:rPr>
          <w:b/>
        </w:rPr>
        <w:t>E. 2.3</w:t>
      </w:r>
    </w:p>
    <w:p>
      <w:r>
        <w:t>Die Beschwerde in Zivilsachen ist indessen nur gegen Entscheide letzter kantonaler Instanzen zulässig ( Art. 75 Abs. 1 BGG ). Gegen den angefochtenen Beschluss der obergerichtlichen Verwaltungskommission über ein Ablehnungsbegehren in einem Zivilprozess kann die kantonale Nichtigkeitsbeschwerde an das Kassationsgericht nach § 281 des Gesetzes über den Zivilprozess des Kantons Zürich vom 13. Juni 1976 (ZPO; LS 271) erhoben werden. Mit der kantonalen Nichtigkeitsbeschwerde kann namentlich die Rüge der Verletzung eines wesentlichen Verfahrensgrundsatzes geltend gemacht werden ( § 281 Ziff. 1 ZPO /ZH). Dazu gehört auch die Befangenheit eines Richters (Frank/Sträuli/Messmer, Kommentar zur zürcherischen Zivilprozessordnung, 3. Aufl. 1997, N. 22 zu § 281 Ziff. 1 ZPO /ZH). § 285 Abs. 2 ZPO /ZH stellt zudem klar, dass mit Bezug auf Rügen einer Verletzung von Art. 29 und 30 BV oder Art. 6 EMRK die kantonale Nichtigkeitsbeschwerde unabhängig von der Weiterzugsmöglichkeit an das Bundesgericht gegeben ist (vgl. Urteil 4A_112/2007 vom 13. August 2007 E. 2.3 mit Hinweisen).</w:t>
      </w:r>
    </w:p>
    <w:p>
      <w:r>
        <w:t>Die Beschwerdeführerin hat denn auch kantonale Nichtigkeitsbeschwerde gegen den Beschluss der obergerichtlichen Verwaltungskommission an das Kassationsgericht erhoben. Ihre nunmehr dem Bundesgericht vorgetragenen Rügen hätte sie mit Beschwerde gegen den diesbezüglich letztinstanzlichen Zirkulationsbeschluss des Kassationsgerichts erheben und sich mit den Erwägungen des Kassationsgerichts auseinandersetzen müssen ( BGE 125 I 492 E. 1 a/cc S. 495; Urteil 4A_414/2008 vom 29. Januar 2009 E. 1.2). Den Zirkulationsbeschluss des Kassationsgerichts vom 5. August 2008 ficht sie aber mit der vorliegenden Beschwerde nicht an, sondern verlangt nur die Aufhebung des Beschlusses der Verwaltungskommission des Obergerichts und richtet ihre Rügen direkt gegen denselben, ohne aufzuzeigen, dass sie diesbezüglich den Instanzenzug eingehalten hätte. Die Beschwerdeführerin unterlässt es, mit ihrem Rechtsbegehren die Aufhebung des Zirkulationsbeschlusses des Kassationsgerichts zu verlangen und setzt sich dementsprechend auch nicht mit der eingehenden Begründung des Kassationsgerichts betreffend die Ablehnung von Richtern auseinander.</w:t>
      </w:r>
    </w:p>
    <w:p>
      <w:r>
        <w:t>Demnach kann auf die Beschwerde mit ihren ausschliesslich direkt gegen den Beschluss der Verwaltungskommission des Obergerichts gerichteten Rügen mangels Letztinstanzlichkeit nicht eingetreten werden.</w:t>
      </w:r>
    </w:p>
    <w:p>
      <w:r>
        <w:rPr>
          <w:b/>
        </w:rPr>
        <w:t>E. 3</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