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4A_417/2018 vom 24. September 2018</w:t>
      </w:r>
    </w:p>
    <w:p>
      <w:r>
        <w:t>Bundesgericht, 2018-09-24, FR</w:t>
      </w:r>
    </w:p>
    <w:p>
      <w:r>
        <w:rPr>
          <w:b/>
        </w:rPr>
        <w:t xml:space="preserve">Quelle: </w:t>
      </w:r>
      <w:r>
        <w:t>https://mcp.opencaselaw.ch/entscheid/bger_4A_417_2018</w:t>
      </w:r>
    </w:p>
    <w:p>
      <w:r>
        <w:t>FR: TF 4A_417/2018 du 24 septembre 2018</w:t>
      </w:r>
    </w:p>
    <w:p>
      <w:r>
        <w:t>IT: TF 4A_417/2018 del 24 settembre 2018</w:t>
      </w:r>
    </w:p>
    <w:p>
      <w:pPr>
        <w:pStyle w:val="Heading2"/>
      </w:pPr>
      <w:r>
        <w:t>Erwägungen</w:t>
      </w:r>
    </w:p>
    <w:p>
      <w:r>
        <w:rPr>
          <w:b/>
        </w:rPr>
        <w:t>E. 1</w:t>
      </w:r>
    </w:p>
    <w:p>
      <w:r>
        <w:t>A l'enseigne «... », A.________ exploite une pharmacie à X.________; cette entreprise est notamment équipée d'une photocopieuse.</w:t>
      </w:r>
    </w:p>
    <w:p>
      <w:r>
        <w:t>En application de son tarif fondé sur la loi fédérale sur le droit d'auteur, Pro Litteris, Société suisse de droits d'auteur pour l'art littéraire et plastique, coopérative, a réclamé de l'exploitant des redevances forfaitaires pour chacune des années 2012 à 2015. Le 10 avril 2017, elle a ouvert contre lui action en paiement devant le Tribunal cantonal du canton du Valais.</w:t>
      </w:r>
    </w:p>
    <w:p>
      <w:r>
        <w:t>Procédant personnellement, le défendeur a présenté divers arguments et, implicitement, conclu au rejet de l'action.</w:t>
      </w:r>
    </w:p>
    <w:p>
      <w:r>
        <w:t>La IIe Cour civile du Tribunal cantonal s'est prononcée en instance cantonale unique, conformément à l' art. 5 al. 1 let. a CPC , le 11 juillet 2018. Accueillant l'action, elle a condamné le défendeur à payer 160 fr.50 et deux fois 53 fr.85, avec intérêts au taux de 5% par an, respectivement dès le 20 novembre 2015, le 22 novembre 2015 et le 10 juillet 2016.</w:t>
      </w:r>
    </w:p>
    <w:p>
      <w:r>
        <w:rPr>
          <w:b/>
        </w:rPr>
        <w:t>E. 2</w:t>
      </w:r>
    </w:p>
    <w:p>
      <w:r>
        <w:t>Par lettre adressée au Tribunal fédéral le 15 juillet 2018, l'épouse et curatrice du défendeur expose que « nous ne sommes toujours pas d'accord de nous acquitter de ces factures; nous pensons toujours que cela ne concerne pas la pharmacie... ».</w:t>
      </w:r>
    </w:p>
    <w:p>
      <w:r>
        <w:rPr>
          <w:b/>
        </w:rPr>
        <w:t>E. 3</w:t>
      </w:r>
    </w:p>
    <w:p>
      <w:r>
        <w:t>A teneur de l'art. 42 al. 1 et 2 de la loi fédérale sur le Tribunal fédéral (LTF), un recours adressé à ce tribunal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Dans son jugement, le Tribunal cantonal a exposé de manière détaillée les règles qui habilitent la demanderesse à prélever des redevances forfaitaires auprès des entreprises dotées d'appareils de reproduction, et il a aussi répondu aux arguments opposés devant lui par le défendeur. En instance fédérale, celui-ci se borne à une simple protestation, sans tenter aucune réfutation du jugement. En conséquence, le recours est irrecevable faute de motivation suffisante.</w:t>
      </w:r>
    </w:p>
    <w:p>
      <w:r>
        <w:rPr>
          <w:b/>
        </w:rPr>
        <w:t>E. 4</w:t>
      </w:r>
    </w:p>
    <w:p>
      <w:r>
        <w:t>A titre de partie qui succombe, le défendeur doit acquitter l'émolument à percevoir par le Tribunal fédéral.</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