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417/2016 vom 20. Oktober 2016</w:t>
      </w:r>
    </w:p>
    <w:p>
      <w:r>
        <w:t>Bundesgericht, 2016-10-20, FR</w:t>
      </w:r>
    </w:p>
    <w:p>
      <w:r>
        <w:rPr>
          <w:b/>
        </w:rPr>
        <w:t xml:space="preserve">Quelle: </w:t>
      </w:r>
      <w:r>
        <w:t>https://mcp.opencaselaw.ch/entscheid/bger_4A_417_2016</w:t>
      </w:r>
    </w:p>
    <w:p>
      <w:r>
        <w:t>FR: TF 4A 417/2016 du 20 octobre 2016</w:t>
      </w:r>
    </w:p>
    <w:p>
      <w:r>
        <w:t>IT: TF 4A 417/2016 del 20 ottobre 2016</w:t>
      </w:r>
    </w:p>
    <w:p>
      <w:pPr>
        <w:pStyle w:val="Heading2"/>
      </w:pPr>
      <w:r>
        <w:t>Regeste</w:t>
      </w:r>
    </w:p>
    <w:p>
      <w:r>
        <w:t>contrat d'assurance; reconnaissance de dette, | Droit des contrats</w:t>
      </w:r>
    </w:p>
    <w:p>
      <w:pPr>
        <w:pStyle w:val="Heading2"/>
      </w:pPr>
      <w:r>
        <w:t>Erwägungen</w:t>
      </w:r>
    </w:p>
    <w:p>
      <w:r>
        <w:rPr>
          <w:b/>
        </w:rPr>
        <w:t>E. 1</w:t>
      </w:r>
    </w:p>
    <w:p>
      <w:r>
        <w:t>Le Tribunal fédéral examine d'office et librement la recevabilité des recours qui lui sont soumis ( ATF 141 III 395 consid. 2.1 p. 397; 140 IV 57 consid. 2 p. 59).</w:t>
      </w:r>
    </w:p>
    <w:p>
      <w:r>
        <w:rPr>
          <w:b/>
        </w:rPr>
        <w:t>E. 1.1</w:t>
      </w:r>
    </w:p>
    <w:p>
      <w:r>
        <w:t>Tout mémoire doit indiquer les conclusions ( art. 42 al. 1 LTF ). S'il admet le recours, le Tribunal fédéral peut en principe statuer lui-même sur le fond ( art. 107 al. 2 et art. 117 LTF ). La partie recourante ne peut dès lors se borner à demander l'annulation de la décision attaquée, mais doit prendre des conclusions sur le fond du litige. Il est fait exception à cette règle uniquement lorsque le Tribunal fédéral, en cas d'admission du recours, ne serait de toute manière pas en situation de statuer lui-même sur le fond et ne pourrait que renvoyer la cause à l'autorité précédente ( ATF 134 III 379 consid. 1.3 p. 383; 133 III 489 consid. 3.1 p. 489 s.); il appartient au recourant de démontrer qu'il en est ainsi lorsque cela ne ressort pas sans autre de la décision attaquée ( ATF 133 III 489 consid. 3.2 p. 490). Les conclusions doivent être déterminées et précises, c'est-à-dire énoncer exactement quelles sont les modifications demandées. Des conclusions claires et précises sont un élément essentiel dans une procédure judiciaire, tant pour la partie adverse que pour le juge, et il ne saurait subsister de doute à leur sujet. Il y a donc lieu de se montrer strict dans ce domaine, d'autant qu'il est en règle générale aisé de satisfaire à cette exigence formelle (arrêt 5A_183/2015 du 29 avril 2015 consid. 1.2.1 et l'arrêt cité); en particulier, il n'y a pas de présomption selon laquelle la partie qui ne précise pas ses conclusions en instance fédérale serait censée reprendre celles qu'elle a prises devant la juridiction précédente (arrêt 5A_799/2014 du 25 juin 2015 consid. 2.1 et l'arrêt cité).</w:t>
      </w:r>
    </w:p>
    <w:p>
      <w:r>
        <w:rPr>
          <w:b/>
        </w:rPr>
        <w:t>E. 1.2</w:t>
      </w:r>
    </w:p>
    <w:p>
      <w:r>
        <w:t>En l'espèce, le recourant ne prend pas de conclusions sur le fond; il se limite à demander au Tribunal fédéral d'annuler le jugement cantonal et de renvoyer la cause à l'autorité précédente pour nouvelle décision dans le sens des considérants. A la lecture du jugement attaqué, on ne discerne pas d'emblée pour quel motif la cour de céans, en cas d'admission du recours, ne serait pas en mesure de statuer au fond sur l'action en libération de dette, ce d'autant moins que l'autorité précédente a tranché toutes les questions soulevées en appel par le recourant. Il appartenait dès lors à ce dernier d'expliquer son choix de prendre des conclusions uniquement cassatoires. Or, il ne dit mot à ce sujet. Au surplus, les conclusions au fond formulées en appel par le recourant ne sauraient être considérées comme reprises dans le recours au Tribunal fédéral. Il s'ensuit l'irrecevabilité du recours.</w:t>
      </w:r>
    </w:p>
    <w:p>
      <w:r>
        <w:rPr>
          <w:b/>
        </w:rPr>
        <w:t>E. 2</w:t>
      </w:r>
    </w:p>
    <w:p>
      <w:r>
        <w:t>Le recourant, qui succombe, prendra à sa charge les frais judiciaires ( art. 66 al. 1 LTF ).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