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417/2011 vom 30. November 2011</w:t>
      </w:r>
    </w:p>
    <w:p>
      <w:r>
        <w:t>Bundesgericht, 2011-11-30, FR</w:t>
      </w:r>
    </w:p>
    <w:p>
      <w:r>
        <w:rPr>
          <w:b/>
        </w:rPr>
        <w:t xml:space="preserve">Quelle: </w:t>
      </w:r>
      <w:r>
        <w:t>https://mcp.opencaselaw.ch/entscheid/bger_4A_417_2011</w:t>
      </w:r>
    </w:p>
    <w:p>
      <w:r>
        <w:t>FR: TF 4A 417/2011 du 30 novembre 2011</w:t>
      </w:r>
    </w:p>
    <w:p>
      <w:r>
        <w:t>IT: TF 4A 417/2011 del 30 novembre 2011</w:t>
      </w:r>
    </w:p>
    <w:p>
      <w:pPr>
        <w:pStyle w:val="Heading2"/>
      </w:pPr>
      <w:r>
        <w:t>Regeste</w:t>
      </w:r>
    </w:p>
    <w:p>
      <w:r>
        <w:t>société anonyme, principe de la transparence | Droit des sociétés</w:t>
      </w:r>
    </w:p>
    <w:p>
      <w:pPr>
        <w:pStyle w:val="Heading2"/>
      </w:pPr>
      <w:r>
        <w:t>Erwägungen</w:t>
      </w:r>
    </w:p>
    <w:p>
      <w:r>
        <w:rPr>
          <w:b/>
        </w:rPr>
        <w:t>E. 1.1</w:t>
      </w:r>
    </w:p>
    <w:p>
      <w:r>
        <w:t>Interjeté par les partie qui ont succombé dans leurs conclusions en paiement et qui ont donc qualité pour recourir ( art. 76 al. 1 LTF ), dirigé contre un jugement final ( art. 90 LTF ) rendu en matière civile ( art. 72 al. 1 LTF ) par un tribunal statuant en instance cantonale unique exigée par le droit fédéral ( art. 75 al. 2 let. a LTF ; ancien art. 58 al. 3 de la Loi fédérale du 28 août 1992 sur la protection des marques et des indications de provenance (Loi sur la protection des marques; LPM, RS 232 11); art. 5 al. 1 let. a CPC ), le recours est en principe recevable, puisqu'il a été déposé dans le délai ( art. 100 al. 1 LTF ) et la forme ( art. 42 LTF ) prévus par la loi. La conclusion litigieuse étant connexe ( art. 15 al. 2 CPC ) à une prétention relevant du droit des marques pour laquelle le droit fédéral exige une instance cantonale unique, la recevabilité du recours ne requiert pas une valeur litigieuse minimale ( art. 74 al. 2 let. b LTF ). Même si l'on voulait examiner séparément la conclusion litigieuse (qui ne relève pas du droit des marques), la valeur minimale exigée par l' art. 74 al. 1 let. b LTF serait atteinte.</w:t>
      </w:r>
    </w:p>
    <w:p>
      <w:r>
        <w:rPr>
          <w:b/>
        </w:rPr>
        <w:t>E. 1.2</w:t>
      </w:r>
    </w:p>
    <w:p>
      <w:r>
        <w:t>Le recours peut être interjeté pour violation du droit, tel qu'il est délimité par les art. 95 et 96 LTF . 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telle que l'entend l' art. 9 Cst. ( ATF 137 I 58 consid. 4.1.2 p. 62; 136 II 304 consid. 2.4) - ou en violation du droit au sens de l' art. 95 LTF ( art. 105 al. 2 LTF ). En l'espèce, les recourantes présentent leur propre résumé des faits, mais n'émettent aucune contestation précise quant à l'état de fait retenu par la cour cantonale. Aucun grief sur les faits n'a donc été formulé avec la précision requise ( art. 97 al. 1 LTF ; ATF 137 I 58 consid. 4.1.2 p. 62; 136 I 184 consid. 1.2 p. 187). On ne voit d'ailleurs aucun motif de s'écarter d'office des constatations cantonales (cf. art. 105 al. 2 LTF ), de sorte que le raisonnement juridique sera mené exclusivement sur la base de celles-ci.</w:t>
      </w:r>
    </w:p>
    <w:p>
      <w:r>
        <w:rPr>
          <w:b/>
        </w:rPr>
        <w:t>E. 1.4</w:t>
      </w:r>
    </w:p>
    <w:p>
      <w:r>
        <w:t>Le Tribunal fédéral ne peut aller au-delà des conclusions des parties ( art. 107 al. 1 LTF ). En l'espèce, le litige est donc réduit à la seule question de la peine conventionnelle, qui est encore demandée par les recourantes.</w:t>
      </w:r>
    </w:p>
    <w:p>
      <w:r>
        <w:rPr>
          <w:b/>
        </w:rPr>
        <w:t>E. 2.1</w:t>
      </w:r>
    </w:p>
    <w:p>
      <w:r>
        <w:t>La conclusion restée litigieuse tend au paiement d'une peine conventionnelle prévue dans le contrat conclu le 19 février 1999. Il ne s'agit en aucun cas d'une action en dommages-intérêts, puisque les recourantes ne prétendent pas avoir allégué et prouvé un quelconque dommage. La prétention restée litigieuse se caractérise comme une action en exécution d'une obligation résultant du contrat passé le 19 février 1999. Or ce contrat a été conclu entre les sociétés X.________ Sàrl et A.________ SA. S'agissant de deux sociétés ayant leur siège en Suisse, le contrat ne revêt aucun caractère international (cf. ATF 136 III 142 consid. 3.2 p. 144; 135 III 185 consid. 3.1 p. 188, 562 consid. 3.2 p. 564), de sorte qu'il n'est pas douteux qu'il est soumis au droit suisse. Selon le principe de la relativité des conventions, le contrat ne déploie en principe ses effets qu'entre les parties. Il apparaît ainsi d'emblée que l'une des recourantes (la société X.________ Inc.) n'est pas partie au contrat et que celui-ci constitue pour elle une res inter alios acta. La société X.________ Inc. ne prétend pas être au bénéfice d'une cession de créances ( art. 164 CO ) ou d'une stipulation pour autrui parfaite ( art. 112 al. 2 CO ); elle ne soutient pas davantage qu'elle aurait succédé à la société X.________ Sàrl dans le cadre d'une fusion ou d'une autre forme de transfert de patrimoine (art. 1 de la Loi fédérale du 3 octobre 2003 sur la fusion, la scission, la transformation et le transfert de patrimoine (loi sur la fusion; LFus, RS 221.301). On ne voit donc pas comment cette société pourrait être titulaire de la créance litigieuse, laquelle résulte exclusivement d'une convention à laquelle elle n'était pas partie. La demande litigieuse doit donc être rejetée en tant qu'elle émane de X.________ Inc.</w:t>
      </w:r>
    </w:p>
    <w:p>
      <w:r>
        <w:rPr>
          <w:b/>
        </w:rPr>
        <w:t>E. 2.2</w:t>
      </w:r>
    </w:p>
    <w:p>
      <w:r>
        <w:t>Le principe de la relativité des conventions implique aussi que l'intimé, qui n'est pas partie au contrat du 19 février 1999, n'est pas non plus le débiteur de la prestation convenue. Certes, l'intimé a été actionnaire de la société A.________ SA. La société anonyme est cependant une personne morale distincte de ses membres et les actionnaires ne sont pas personnellement responsables des dettes sociales (arrêt 4C.455/1995 du 28 mai 1996 consid. 6). La figure juridique de la société anonyme permet à une personne de participer à une activité économique sans risquer la totalité de son patrimoine, les obligations de l'actionnaire étant limitées au paiement des actions qu'il a souscrites, respectivement au paiement du prix d'achat des actions qu'il a acquises d'un tiers ( art. 620 al. 2 CO ; ATF 108 II 213 consid. 6a p. 215). Il ne saurait être question de faire abstraction de la dualité juridique existant entre la société anonyme et son actionnaire du seul fait que la société est devenue insolvable ( ATF 108 II 213 consid. 6b p. 215). Il est vrai que l'intimé était aussi administrateur, puis liquidateur de la société A.________ SA. Un administrateur ou un liquidateur ne doit cependant pas non plus être confondu avec la société anonyme elle-même, qui constitue une personne morale distincte (arrêt 4A_58/2011 du 17 juin 2011 consid. 2.3). Il faut relever ici que les demanderesses ne forment pas une action en dommages-intérêts contre l'administrateur ou le liquidateur qui serait fondée sur l' art. 754 CO , en soutenant qu'il leur aurait causé un dommage direct ( art. 754 al. 1 CO ) ou qu'elles agissent en tant que cessionnaires des droits de la masse ( art. 757 CO ). Comme on l'a déjà relevé, la demande n'a pas pour objet un dommage, mais l'exécution d'une prestation en cas de violation de l'interdiction de concurrence, c'est-à-dire le paiement d'une peine convenue dans une clause pénale au sens des art. 160 et 161 CO , en particulier sous la forme de l' art. 161 al. 1 CO . N'étant pas partie au contrat, l'intimé n'est donc en principe pas le débiteur de la prestation réclamée par X.________ Sàrl sur la base de la clause pénale.</w:t>
      </w:r>
    </w:p>
    <w:p>
      <w:r>
        <w:rPr>
          <w:b/>
        </w:rPr>
        <w:t>E. 2.3</w:t>
      </w:r>
    </w:p>
    <w:p>
      <w:r>
        <w:t>Pour tenter d'échapper à cette conclusion, les recourantes font appel au principe de la transparence (ou Durchgriff), qui relève du droit fédéral. Selon la théorie de la transparence, on ne peut pas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en réalité pas deux entités indépendantes, du moment que la société est un simple instrument dans la main de son auteur, lequel, économiquement, ne fait qu'un avec elle. On doit dès lors admettre, à certains égards, conformément à la réalité économique, qu'il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(arrêt 4A_58/2011 du 17 juin 2011 consid. 2.4.1; arrêt 4A_384/2008 du 9 décembre 2008 consid. 4.1, in SJ 2009 I p. 424; cf. également: arrêt 5A_175/2010 du 25 mai 2010 consid. 3.3.4; arrêt 4C.15/2004 du 12 mai 2004 consid. 5.2; ATF 112 II 503 consid. 3b p. 506). 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en tirer un avantage injustifié (arrêt 4A_58/2011 du 17 juin 2011 consid. 2.4.1; arrêt 4C.231/1997 du 15 septembre 1998 consid. 2b). On peut déjà se demander si la première condition est remplie, puisque l'intimé - selon les constatations cantonales qui lient le Tribunal fédéral ( art. 105 al. 1 LTF ) - détenait le 63% du capital-actions de la société A.________ SA, ce qui ne correspond pas à la totalité ou la quasi-totalité du capital-actions comme le requièrent plusieurs arrêts (arrêt 5A_175/2010 du 25 mai 2010 consid. 3.3.4; arrêt 4A_384/2008 du 9 décembre 2008 consid. 4.1, in SJ 2009 I p. 424). Il est vrai cependant qu'il était l'actionnaire majoritaire et l'animateur de la société, puisqu'il a exercé les fonctions d'administrateur unique et de liquidateur unique. La question peut rester indécise, puisque, de toute manière, la seconde condition cumulative n'est manifestement pas remplie. En effet, il ne ressort pas des constatations cantonales que l'intimé aurait fondé la société anonyme ou conclu le contrat en ayant d'ores et déjà l'intention de concurrencer l'activité économique de X.________ Sàrl et d'échapper, grâce à la dualité juridique, à l'obligation de payer la peine conventionnelle. Il apparaît au contraire de l'état de fait que c'est la résiliation du contrat par cette dernière société qui a mis A.________ SA dans une situation difficile, de sorte qu'elle a décidé de continuer sa production. Il ressort clairement du contrat que celui-ci est conclu par la société A.________ SA et non pas par l'intimé personnellement; à aucun moment - selon les constatations cantonales -, l'intimé n'a tenté de créer une confusion entre la société et lui-même pour en tirer un profit illégitime. Il résulte au contraire de l'état de fait que l'activité économique a clairement et constamment été exercée par la société A.________ SA en tant que personne morale distincte. Il n'y a donc aucune trace d'un abus de droit. En réalité, la demande est dirigée contre l'intimé parce que la société A.________ SA s'est révélée insolvable. Or, l'incapacité pour une société de payer ses dettes ne suffit pas pour qu'il soit fait application de la théorie de la transparence, même à l'égard d'un actionnaire unique et administrateur unique (CARLO LOMBARDINI, Commentaire romand, Code des obligations II, 2008, n° 33 ad art. 620 CO ). En l'absence d'un abus de droit, la dualité juridique reste la règle ( ATF 113 II 31 consid. 2c p. 36). La cour cantonale n'a donc pas violé le droit fédéral en écartant la théorie de la transparence en l'espèce et en constatant que l'intimé n'est pas le débiteur de la peine convenue, faute d'être partie au contrat qui la fonde. Il ne ressort pas non plus des constatations cantonales que l'intimé aurait repris la dette de la société A.________ SA ( art. 175 ss CO ). Aussi la cour cantonale est-elle parvenue à juste titre à la conclusion que l'intimé n'est pas le débiteur de la peine conventionnelle qui lui était réclamée et que, faute de légitimation passive, la demande doit être écartée. Partant, le recours doit être entièrement rejeté.</w:t>
      </w:r>
    </w:p>
    <w:p>
      <w:r>
        <w:rPr>
          <w:b/>
        </w:rPr>
        <w:t>E. 3</w:t>
      </w:r>
    </w:p>
    <w:p>
      <w:r>
        <w:t>Les frais judiciaires et les dépens sont mis solidairement à la charge des recourantes qui succombent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