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4A_416/2022 vom 13. Juli 2023</w:t>
      </w:r>
    </w:p>
    <w:p>
      <w:r>
        <w:t>Bundesgericht, 2023-07-13, FR</w:t>
      </w:r>
    </w:p>
    <w:p>
      <w:r>
        <w:rPr>
          <w:b/>
        </w:rPr>
        <w:t xml:space="preserve">Quelle: </w:t>
      </w:r>
      <w:r>
        <w:t>https://mcp.opencaselaw.ch/entscheid/bger_4A_416_2022</w:t>
      </w:r>
    </w:p>
    <w:p>
      <w:r>
        <w:t>FR: TF 4A_416/2022 du 13 juillet 2023</w:t>
      </w:r>
    </w:p>
    <w:p>
      <w:r>
        <w:t>IT: TF 4A_416/2022 del 13 luglio 2023</w:t>
      </w:r>
    </w:p>
    <w:p>
      <w:pPr>
        <w:pStyle w:val="Heading2"/>
      </w:pPr>
      <w:r>
        <w:t>Erwägungen</w:t>
      </w:r>
    </w:p>
    <w:p>
      <w:r>
        <w:rPr>
          <w:b/>
        </w:rPr>
        <w:t>E. 1</w:t>
      </w:r>
    </w:p>
    <w:p>
      <w:r>
        <w:t>Interjeté en temps utile (art. 100 al. 1 et 45 al. 1 LTF) par une société anonyme qui a succombé dans ses conclusions libératoires, dirigé contre une décision finale ( art. 90 LTF ) prise sur appel par le tribunal supérieur du canton ( art. 75 LTF ) sur une action en annulation d'une décision de son assemblée générale ( art. 72 al. 1 LTF ), dont la valeur litigieuse excède 30'000 fr. ( art. 74 al. 1 let. b LTF ), le présent recours en matière civile est recevable sur le principe.</w:t>
      </w:r>
    </w:p>
    <w:p>
      <w:r>
        <w:rPr>
          <w:b/>
        </w:rPr>
        <w:t>E. 2.1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encore soulevées par les parties, à moins que la violation du droit ne soit manifeste ( ATF 140 III 115 consid. 2 p. 116; 140 III 86 consid. 2; 133 III 545 consid. 2.2; arrêt 4A_399/2008 du 12 novembre 2008 consid. 2.1 non publié in ATF 135 III 112 ). Il n'est en revanche pas lié par l'argumentation juridique développée par les parties ou par l'autorité précédente; il peut admettre le recours, comme il peut le rejeter en procédant à une substitution de motifs ( ATF 135 III 397 consid. 1.4).</w:t>
      </w:r>
    </w:p>
    <w:p>
      <w:r>
        <w:rPr>
          <w:b/>
        </w:rPr>
        <w:t>E. 3</w:t>
      </w:r>
    </w:p>
    <w:p>
      <w:r>
        <w:t>Est litigieuse la question de savoir si la modification de l'art. 20 al. 2 des statuts adoptée par l'assemblée générale de la société anonyme du 18 juin 2020 est constitutive d'un abus de droit au sens de l' art. 2 al. 2 CC .</w:t>
      </w:r>
    </w:p>
    <w:p>
      <w:r>
        <w:rPr>
          <w:b/>
        </w:rPr>
        <w:t>E. 3.1</w:t>
      </w:r>
    </w:p>
    <w:p>
      <w:r>
        <w:t>En ce qui concerne la représentation au conseil d'administration, l' art. 709 al. 1 CO garantit à chaque catégorie d'actions un représentant au moins au conseil administration. Selon l' art. 709 al. 2 CO , les statuts peuvent prévoir des dispositions particulières pour protéger les minorités ou certains groupes d'actionnaires.</w:t>
      </w:r>
    </w:p>
    <w:p>
      <w:r>
        <w:rPr>
          <w:b/>
        </w:rPr>
        <w:t>E. 3.1.1</w:t>
      </w:r>
    </w:p>
    <w:p>
      <w:r>
        <w:t>Pour modifier une disposition particulière des statuts au sens de l' art. 709 al. 2 CO , l'assemblée générale des actionnaires est compétente ( art. 698 al. 2 ch. 1 CO ). Conformément à l' art. 703 CO , si la loi ou les statuts n'en disposent pas autrement, l'assemblée générale prend ses décisions à la majorité absolue des voix attribuées aux actions représentées.</w:t>
      </w:r>
    </w:p>
    <w:p>
      <w:r>
        <w:rPr>
          <w:b/>
        </w:rPr>
        <w:t>E. 3.1.2</w:t>
      </w:r>
    </w:p>
    <w:p>
      <w:r>
        <w:t>L' art. 706 al. 2 CO limite ce pouvoir de l'assemblée générale en ce sens que les actionnaires minoritaires peuvent agir en annulation des décisions de modification prises à la majorité, notamment dans trois cas, à savoir si elles suppriment ou limitent les droits des actionnaires en violation de la loi ou des statuts (ch. 1), si elles suppriment ou limitent les droits des actionnaires d'une manière non fondée (ch. 2) et enfin, si elles entraînent pour les actionnaires une inégalité de traitement ou un préjudice non justifiés par le but de la société (ch. 3).</w:t>
      </w:r>
    </w:p>
    <w:p>
      <w:r>
        <w:t>Les cas visés par l' art. 706 al. 2 CO ne sont pas exhaustifs, n'étant qu'une codification de la jurisprudence rendue dans des cas particuliers (PETER/CAVADINI, in Code des obligations II, Commentaire romand, 2e éd. 2017, n° 21 ad art. 706 CO ; DUBS/TRUFFER, in Obligationenrecht II, Basler Kommentar, 5</w:t>
      </w:r>
    </w:p>
    <w:p>
      <w:r>
        <w:t>e éd. 2016, n° 9 ad art. 706 CO ). Il s'agit de cas d'application de l' art. 2 CC . Il existe donc encore d'autres situations susceptibles de se révéler abusives pour d'autres raisons (à propos de l'inégalité de traitement de l' art. 706 al. 2 ch. 3 CO , cf. l'arrêt 4A_205/2008 du 19 août 2008 consid. 3.2; ATF 102 II 265 consid. 2). Les cas de l' art. 706 al. 2 ch. 2 et 3 CO donnent aux tribunaux des lignes directrices différenciées qui les dispensent de devoir se référer à l'interdiction de l'abus de droit de l' art. 2 al. 2 CC (PETER BÖCKLI, Schweizer Aktienrecht, 5</w:t>
      </w:r>
    </w:p>
    <w:p>
      <w:r>
        <w:t>e éd. 2022, § 14 n. 166). Il n'en demeure pas moins que, selon la jurisprudence, l'abus de droit de l' art. 2 al. 2 CC est toujours réservé (arrêt précité 4A_205/2008 consid. 3.2; ATF 102 II 265 consid. 2).</w:t>
      </w:r>
    </w:p>
    <w:p>
      <w:r>
        <w:rPr>
          <w:b/>
        </w:rPr>
        <w:t>E. 3.1.3</w:t>
      </w:r>
    </w:p>
    <w:p>
      <w:r>
        <w:t>En vertu de l' art. 2 al. 2 CC , l'abus manifeste d'un droit n'est pas protégé par la loi. L'existence d'un abus de droit se détermine selon les circonstances concrètes du cas. L'emploi dans le texte légal du qualificatif "manifeste" démontre que l'abus de droit ne doit être admis qu'avec réserve. L'interdiction de l'abus de droit vaut pour tout l'ordre juridique, y compris pour l'exercice du pouvoir dans la société anonyme par les actionnaires majoritaires. Une décision prise par la majorité sera abusive au sens de l' art. 2 al. 2 CC aux trois conditions suivantes: (1) si elle n'est pas justifiée par des motifs économiques raisonnables, (2) si elle lèse manifestement les intérêts de la minorité, et (3) si elle favorise sans raison les intérêts particuliers de la majorité (arrêts 4A_205/2008 précité consid. 4.1; 4C.386/2002 du 12 octobre 2004 consid. 3.4.1, non publié in ATF 131 III 38 ; ATF 95 II 157 consid. 9c et les arrêts cités). Le juge n'a pas à examiner l'opportunité de la décision au regard des intérêts de la société et de l'ensemble des actionnaires. En vertu du principe de la majorité qui gouverne les décisions de la société anonyme, l'actionnaire admet que la majorité présente à l'assemblée générale puisse faire passer ses intérêts avant ceux de la minorité. Le juge ne peut intervenir que si les actionnaires majoritaires ont manifestement abusé du pouvoir que leur confère l' art. 703 CO , eu égard aux intérêts contraires des actionnaires minoritaires (arrêts précités 4A_205/2008 consid. 4.1 et 4C.386/2002 consid. 3.4.1; arrêt 4C.242/2001 du 5 mars 2003 consid. 5.1; ATF 102 II 265 consid. 3).</w:t>
      </w:r>
    </w:p>
    <w:p>
      <w:r>
        <w:rPr>
          <w:b/>
        </w:rPr>
        <w:t>E. 3.2</w:t>
      </w:r>
    </w:p>
    <w:p>
      <w:r>
        <w:t>En l'espèce, le conseil d'administration a proposé à l'assemblée générale du 18 juin 2020 de modifier l'art. 20 al. 2 des statuts, soit de supprimer le droit de l'actionnaire minoritaire d'avoir quatre représentants au conseil d'administration et de ne lui en accorder plus qu'un seul. L'actionnaire minoritaire s'est opposée à cette proposition et a voté contre celle-ci. La modification de l'art. 20 al. 2 des statuts a néanmoins été acceptée à la majorité de 5'209 voix, correspondant aux voix de l'actionnaire majoritaire, contre 2'158 voix, dont 2'154 voix appartenant à l'actionnaire minoritaire.</w:t>
      </w:r>
    </w:p>
    <w:p>
      <w:r>
        <w:t>Saisie, sur appel, d'une action en annulation de cette décision, la cour cantonale a examiné si les trois conditions de l'abus de droit manifeste de l' art. 2 al. 2 CC , telles que dégagées par la jurisprudence en relation avec cette disposition, étaient réalisées en l'espèce.</w:t>
      </w:r>
    </w:p>
    <w:p>
      <w:r>
        <w:t>Même si, dans le titre de son grief, la recourante semble vouloir se baser sur l' art. 706 al. 2 ch. 2 CO , elle n'en propose aucune analyse séparée, de sorte que seule la violation de l' art. 2 al. 2 CC doit être examinée.</w:t>
      </w:r>
    </w:p>
    <w:p>
      <w:r>
        <w:t>La recourante se limite à contester les deux dernières des trois conditions précitées, de sorte qu'il faut tenir pour acquise la première condition, selon laquelle la modification statutaire n'est pas justifiée par des motifs économiques raisonnables, comme l'a retenu la cour cantonale qui a renoncé à examiner les circonstances entourant les prêts et</w:t>
      </w:r>
    </w:p>
    <w:p>
      <w:r>
        <w:t>management fees octroyés à l'actionnaire majoritaire. Dans la mesure où, à la fin de son recours, la recourante se contente d'affirmer que cette condition ne serait pas réalisée, son grief ne satisfait pas aux exigences de motivation de l' art. 42 al. 2 LTF , de sorte qu'il est irrecevable (cf. consid. 2.2</w:t>
      </w:r>
    </w:p>
    <w:p>
      <w:r>
        <w:t>supra ).</w:t>
      </w:r>
    </w:p>
    <w:p>
      <w:r>
        <w:t>Il faut donc examiner uniquement ses griefs relatifs aux deux autres conditions.</w:t>
      </w:r>
    </w:p>
    <w:p>
      <w:r>
        <w:rPr>
          <w:b/>
        </w:rPr>
        <w:t>E. 3.3</w:t>
      </w:r>
    </w:p>
    <w:p>
      <w:r>
        <w:t>Tout d'abord, la cour cantonale a admis que la décision de l'assemblée générale lèse manifestement les intérêts de la minorité.</w:t>
      </w:r>
    </w:p>
    <w:p>
      <w:r>
        <w:rPr>
          <w:b/>
        </w:rPr>
        <w:t>E. 3.3.1</w:t>
      </w:r>
    </w:p>
    <w:p>
      <w:r>
        <w:t>En substance, la cour cantonale considère que la réduction de quatre à un du nombre des représentants de l'actionnaire minoritaire au conseil d'administration, diminue considérablement l'influence que celle-ci peut exercer sur les décisions prises par cet organe, en principe dans l'intérêt de la société. Il est possible que d'autres administrateurs soutiennent les représentants de l'actionnaire minoritaire dans les votes, de sorte que la réduction de quatre représentants à un seul réduit fortement les chances de celle-ci de recueillir une majorité: au lieu de trouver l'appui de trois autres administrateurs, elle devrait désormais en obtenir six pour avoir une majorité (soit de 7 sur les 12 membres prévus au conseil d'administration). En outre, si elle ne dispose plus que d'un seul représentant, elle diminue également sa force de conviction sur les autres administrateurs dans les discussions. Même si l'actionnaire minoritaire devait conserver ses autres droits, cela ne changerait rien à ce qui précède.</w:t>
      </w:r>
    </w:p>
    <w:p>
      <w:r>
        <w:rPr>
          <w:b/>
        </w:rPr>
        <w:t>E. 3.3.2</w:t>
      </w:r>
    </w:p>
    <w:p>
      <w:r>
        <w:t>La recourante se limite à reprocher à la cour cantonale de s'être basée sur un seul élément, soit la réduction du nombre de représentants au conseil d'administration, et sur les effets hypothétiques qu'entraînerait une telle réduction sur l'influence que peut exercer l'actionnaire minoritaire sur les décisions du conseil d'administration.</w:t>
      </w:r>
    </w:p>
    <w:p>
      <w:r>
        <w:t>Cependant, elle ne conteste ni le fait qu'avec un seul représentant, elle devrait convaincre davantage d'administrateurs (6 au lieu de 3) pour emporter un vote du conseil (majorité de 7), ni le fait qu'avec un seul représentant au conseil, son pouvoir de persuasion sur les autres administrateurs serait diminué. Pourtant, la première de ces déductions est incontestable puisqu'elle est mathématique, et la seconde découle de l'expérience générale de la vie.</w:t>
      </w:r>
    </w:p>
    <w:p>
      <w:r>
        <w:t>Lorsqu'elle soutient que l'on ne saurait se baser sur ce seul élément et, implicitement, qu'il faudrait encore qu'une atteinte soit portée à d'autres droits sociaux et patrimoniaux de l'actionnaire minoritaire, la société ne tente pas la moindre démonstration de ce qu'elle avance; elle n'indique pas quel droit garanti à l'actionnaire minoritaire ferait apparaître comme mineure ou insignifiante l'atteinte portée à son droit d'avoir quatre représentants au conseil d'administration, excluant ainsi toute lésion manifeste, et ce alors même qu'en 1983, cet avantage avait été introduit pour compenser le déséquilibre engendré pour cet actionnaire "historique" par la création d'actions privilégiées.</w:t>
      </w:r>
    </w:p>
    <w:p>
      <w:r>
        <w:t>Sans autre précision, le grief d'omission de faits concernant l'absence de lésion d'autres droits sociaux et patrimoinaux est donc irrecevable.</w:t>
      </w:r>
    </w:p>
    <w:p>
      <w:r>
        <w:t>En bref, les griefs de la recourante sur cette condition doivent être rejetés dans la mesure où ils sont recevables.</w:t>
      </w:r>
    </w:p>
    <w:p>
      <w:r>
        <w:rPr>
          <w:b/>
        </w:rPr>
        <w:t>E. 3.4</w:t>
      </w:r>
    </w:p>
    <w:p>
      <w:r>
        <w:t>Ensuite, la cour cantonale a admis que la décision de l'assemblée générale favorisait sans raison les intérêts particuliers de la majorité.</w:t>
      </w:r>
    </w:p>
    <w:p>
      <w:r>
        <w:rPr>
          <w:b/>
        </w:rPr>
        <w:t>E. 3.4.1</w:t>
      </w:r>
    </w:p>
    <w:p>
      <w:r>
        <w:t>Procédant par substitution de motifs, l'autorité précédente a considéré comme non établi le fait que l'actionnaire majoritaire disposait déjà d'une majorité de représentants au sein du conseil d'administration: des faits dont elle avait connaissance, il ressortait tout au plus que l'actionnaire majoritaire avait trois représentants. L'on ignorait si les autres administrateurs, ou une majorité d'entre eux faisaient aussi partie de ses membres, ce d'autant que les administrateurs ne devaient pas nécessairement être désignés parmi les actionnaires.</w:t>
      </w:r>
    </w:p>
    <w:p>
      <w:r>
        <w:t>La cour cantonale en a inféré que la modification statutaire favorisait sans raison les intérêts de la majorité: car en réduisant le nombre de représentants de la minorité, l'actionnaire majoritaire s'assurait de pouvoir contrôler plus aisément les décisions prises par cet organe, puisque la minorité subissait une diminution de sa capacité d'influencer les décisions prises tandis que la majorité ne pouvait brandir aucune raison particulière d'apporter la modification litigieuse.</w:t>
      </w:r>
    </w:p>
    <w:p>
      <w:r>
        <w:rPr>
          <w:b/>
        </w:rPr>
        <w:t>E. 3.4.2</w:t>
      </w:r>
    </w:p>
    <w:p>
      <w:r>
        <w:t>La recourante fait grief à la cour cantonale d'avoir adopté le meilleur scénario pour la minorité en admettant la lésion de ses intérêts et le pire scénario pour la majorité, en examinant la favorisation de ses intérêts. Cependant, elle méconnaît qu'en réalité, c'est toujours la réduction des représentants de la minorité et, partant, leur capacité d'influencer les autres membres du conseil d'administration, qui est à l'origine, d'une part, de la lésion des intérêts de la minorité et, d'autre part, de la favorisation des intérêts de la majorité. Il n'y a là aucune contradiction et il ne sert à rien d'objecter que l'actionnaire majoritaire a toujours la possibilité de décider seule, puisqu'elle dispose de la majorité à l'assemblée générale, quelles personnes seront élues au conseil d'administration. Il est indéniable que plus un actionnaire a de représentants au conseil d'administration, plus sa capacité d'influence est grande. Toute tentative de démontrer le contraire est contredite par l'expérience de la vie.</w:t>
      </w:r>
    </w:p>
    <w:p>
      <w:r>
        <w:t>Ainsi, les griefs de la recourante sur cette condition doivent eux aussi être rejetés.</w:t>
      </w:r>
    </w:p>
    <w:p>
      <w:r>
        <w:rPr>
          <w:b/>
        </w:rPr>
        <w:t>E. 4</w:t>
      </w:r>
    </w:p>
    <w:p>
      <w:r>
        <w:t>En définitive, tous les griefs recevables de la recourante se révèlent infondés, de sorte que son recours doit être rejeté dans la mesure où il est recevable, aux frais de son auteur qui versera à son adverse partie une indemnité pour ses frais d'avocat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