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416/2010 vom 9. September 2010</w:t>
      </w:r>
    </w:p>
    <w:p>
      <w:r>
        <w:t>Bundesgericht, 2010-09-09, DE</w:t>
      </w:r>
    </w:p>
    <w:p>
      <w:r>
        <w:rPr>
          <w:b/>
        </w:rPr>
        <w:t xml:space="preserve">Quelle: </w:t>
      </w:r>
      <w:r>
        <w:t>https://mcp.opencaselaw.ch/entscheid/bger_4A_416_2010</w:t>
      </w:r>
    </w:p>
    <w:p>
      <w:r>
        <w:t>FR: TF 4A 416/2010 du 9 septembre 2010</w:t>
      </w:r>
    </w:p>
    <w:p>
      <w:r>
        <w:t>IT: TF 4A 416/2010 del 9 settembre 2010</w:t>
      </w:r>
    </w:p>
    <w:p>
      <w:pPr>
        <w:pStyle w:val="Heading2"/>
      </w:pPr>
      <w:r>
        <w:t>Regeste</w:t>
      </w:r>
    </w:p>
    <w:p>
      <w:r>
        <w:t>Spitalhaftung; unentgeltliche Rechtspflege | Staatshaftung</w:t>
      </w:r>
    </w:p>
    <w:p>
      <w:pPr>
        <w:pStyle w:val="Heading2"/>
      </w:pPr>
      <w:r>
        <w:t>Erwägungen</w:t>
      </w:r>
    </w:p>
    <w:p>
      <w:r>
        <w:rPr>
          <w:b/>
        </w:rPr>
        <w:t>E. 1</w:t>
      </w:r>
    </w:p>
    <w:p>
      <w:r>
        <w:t>Die Verfügung, mit der das Gesuch um Bewilligung des Kostenerlasses abgewiesen wurde, ist ein letztinstanzlicher kantonaler Zwischenentscheid, der den Hauptprozess nicht abschliesst. Gegen diesen Zwischenentscheid ist nach Art. 93 Abs. 1 lit. a BGG die Beschwerde zulässig, wenn er einen nicht wieder gutzumachenden Nachteil bewirken kann. Zwischenentscheide, mit denen die unentgeltliche Rechtspflege verweigert wird, haben in der Regel einen solchen Nachteil zur Folge ( BGE 129 I 129 E. 1.1 S. 131 ; 126 I 207 E. 2a S. 210 mit Hinweisen). Dies trifft auch im vorliegenden Fall zu. Gegenstand des angefochtenen Entscheids sind Schadenersatz- und Genugtuungsansprüche wegen fehlerhafter Behandlung in einem öffentlichen Spital nach dem kantonalen öffentlichen Haftungsrecht. Da solche Entscheide in unmittelbarem Zusammenhang mit dem Zivilrecht stehen, ist dagegen nach Art. 72 Abs. 2 lit. b BGG die Beschwerde in Zivilsachen gegeben ( BGE 135 III 329 E. 1.1 S. 331; 133 III 462 E. 2.1 S. 465; vgl. Art. 30 Abs. 1 lit. c Ziff. 1 und Art. 31 Abs. 1 lit. d BGerR ). Da der Streitwert der Hauptsache Fr. 30'000.-- übersteigt, steht auch unter diesem Gesichtspunkt einem Eintreten auf die Beschwerde nichts entgegen ( Art. 74 Abs. 1 lit. b BGG ).</w:t>
      </w:r>
    </w:p>
    <w:p>
      <w:r>
        <w:rPr>
          <w:b/>
        </w:rPr>
        <w:t>E. 2</w:t>
      </w:r>
    </w:p>
    <w:p>
      <w:r>
        <w:t>Die Beschwerdeführer rügen die mangelhafte Begründung des angefochtenen Entscheides. Die Vorinstanz lege bloss dar, dass, aber nicht weshalb sie die Klage für aussichtslos halte. Hierfür seien diverse Gründe denkbar: Fehlende formelle Voraussetzungen, offensichtliche Unbegründetheit in tatsächlicher oder rechtlicher Hinsicht, das Fehlen von Haftungsvoraussetzungen, Beweisschwierigkeiten etc. Mangels Angabe von Gründen seien die Beschwerdeführer nicht in der Lage, die abweisende Verfügung materiell anzufechten. Die Vorinstanz habe es versäumt, anhand einer summarischen Beweisaufnahme eine vorläufige Einschätzung der Prozessaussichten vorzunehmen. Der blosse Hinweis, die Klage erscheine "nach vorläufiger Prüfung der Akten" als aussichtslos, sei eine völlig unzulängliche Scheinbegründung. Lasse ein Sachverhalt, wenn auch nur rudimentär, erkennen, dass dem Gesuchsteller gewisse Ansprüche zustehen könnten bzw. nicht geradezu ausgeschlossen seien, sei Aussichtslosigkeit zu verneinen. Damit dieses Kriterium von den Betroffenen nachgeprüft werden könne, sei eine entsprechende Begründung unabdingbar. Der erhobene Vorwurf der Verletzung der ärztlichen Sorgfaltspflicht, die Frage, ob ein Psychiater die Suizidalität hätte erkennen können und müssen, könne nur anhand eines gerichtlichen Gutachtens unter Berücksichtigung der Krankengeschichte samt Diagnose, der Einweisungsumstände und des Verhaltens der Verstorbenen beantwortet werden. Wie das Gericht implizit zur Auffassung gelangen konnte, Schadenersatzansprüche könnten ausgeschlossen werden, sei schleierhaft.</w:t>
      </w:r>
    </w:p>
    <w:p>
      <w:r>
        <w:rPr>
          <w:b/>
        </w:rPr>
        <w:t>E. 2.1</w:t>
      </w:r>
    </w:p>
    <w:p>
      <w:r>
        <w:t>Gemäss Art. 112 Abs. 1 BGG müssen Entscheide, die der Beschwerde an das Bundesgericht unterliegen, unter anderem die massgebenden Gründe tatsächlicher und rechtlicher Art enthalten, insbesondere die Angabe der angewendeten Gesetzesbestimmungen (lit. b). Das Bundesgericht kann nach Art. 112 Abs. 3 BGG einen Entscheid, der den Anforderungen von Absatz 1 nicht genügt, an die kantonale Behörde zur Verbesserung zurückweisen oder aufheben. Aus Art. 112 Abs. 1 lit. b BGG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 Art. 95 und Art.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(Urteil des Bundesgerichts 1B_61/2008 vom 3. April 2008 E. 2.2 mit Hinweisen).</w:t>
      </w:r>
    </w:p>
    <w:p>
      <w:r>
        <w:rPr>
          <w:b/>
        </w:rPr>
        <w:t>E. 2.2</w:t>
      </w:r>
    </w:p>
    <w:p>
      <w:r>
        <w:t>Der angefochtene Entscheid entspricht den erwähnten Anforderungen in keiner Weise. Der Kurzbegründung ist einzig zu entnehmen, dass die Bedürftigkeit als ausgewiesen erachtet wurde, der Klage jedoch die Erfolgsaussichten abgesprochen wurden. Aus welchen Gründen die Vorinstanz die Erfolgsaussichten als wesentlich geringer als die Verlustgefahren einschätzt (vgl. hierzu BGE 129 I 129 E. 2.3.1 S. 135 f.), bleibt im Dunkeln. Es wird nicht ersichtlich, welche Tatsachenbehauptungen der Beschwerdeführer die Vorinstanz für kaum beweisbar erachtete, oder ob sie die behaupteten Tatumstände, sollten sich diese beweisen lassen, für ungeeignet hielt, um daraus jene rechtlichen Schlüsse zu ziehen, aus welchen die Beschwerdeführer ihre Ansprüche ableiten. Das Bundesgericht ist nicht in der Lage, die vorläufige Beurteilung der Vorinstanz nachzuvollziehen und auf ihre Verfassungs- bzw. Bundesrechtskonformität zu überprüfen, denn der angefochtene Entscheid schweigt sich zu den massgeblichen Fragen aus. Im Lichte der angeführten Rechtsprechung ist er deshalb in Anwendung von Art. 112 Abs. 3 BGG aufzuheben. Die Sache ist an den Vizepräsidenten des Verwaltungsgerichts zurückzuweisen, damit er einen Entscheid treffe, der den Anforderungen von Art. 112 Abs. 1 lit. b BGG genügt. Die Rüge, die mangelnde Begründung verletze den Anspruch der Beschwerdeführer auf rechtliches Gehör ( Art. 29 Abs. 2 BV ), erweist sich ebenfalls als offensichtlich begründet. Ihr kommt aber keine Bedeutung zu, da die Sache ohnehin an die Vorinstanz zurückgewiesen wird.</w:t>
      </w:r>
    </w:p>
    <w:p>
      <w:r>
        <w:rPr>
          <w:b/>
        </w:rPr>
        <w:t>E. 3</w:t>
      </w:r>
    </w:p>
    <w:p>
      <w:r>
        <w:t>Damit ist die Beschwerde gutzuheissen, die angefochtene Verfügung aufzuheben und die Sache zu neuer Entscheidung an die Vorinstanz zurückzuweisen. Die Beschwerdegegnerin, die sich der Beschwerde nicht widersetzt und den angefochtenen Entscheid nicht bewirkt hat, kann nicht als unterliegende Partei betrachtet werden. Dem Kanton dürfen in der Regel, von der abzuweichen kein Anlass besteht, keine Gerichtskosten auferlegt werden ( Art. 66 Abs. 4 BGG ). Praxisgemäss hat er aber den Beschwerdeführer für das bundesgerichtliche Verfahren zu entschädigen ( Art. 68 Abs. 2 BGG ; GEISER, in: Basler Kommentar, 2008, N. 22 zu Art. 68 BGG ). Bei diesem Verfahrensausgang können die Beschwerdeführer, deren Bedürftigkeit bereits gemäss dem angefochtenen Entscheid, erst recht nach Einreichung der neuen Belege als ausgewiesen erscheint, an sich die unentgeltliche Rechtspflege für das Verfahren vor Bundesgericht beanspruchen ( Art. 64 BGG ). Da beim Kanton Solothurn nicht mit der Uneinbringlichkeit der Entschädigung zu rechnen ist, wird das Gesuch um unentgeltliche Rechtspflege allerdings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