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415/2014 vom 12. Januar 2015</w:t>
      </w:r>
    </w:p>
    <w:p>
      <w:r>
        <w:t>Bundesgericht, 2015-01-12, FR</w:t>
      </w:r>
    </w:p>
    <w:p>
      <w:r>
        <w:rPr>
          <w:b/>
        </w:rPr>
        <w:t xml:space="preserve">Quelle: </w:t>
      </w:r>
      <w:r>
        <w:t>https://mcp.opencaselaw.ch/entscheid/bger_4A_415_2014</w:t>
      </w:r>
    </w:p>
    <w:p>
      <w:r>
        <w:t>FR: TF 4A 415/2014 du 12 janvier 2015</w:t>
      </w:r>
    </w:p>
    <w:p>
      <w:r>
        <w:t>IT: TF 4A 415/2014 del 12 gennaio 2015</w:t>
      </w:r>
    </w:p>
    <w:p>
      <w:pPr>
        <w:pStyle w:val="Heading2"/>
      </w:pPr>
      <w:r>
        <w:t>Regeste</w:t>
      </w:r>
    </w:p>
    <w:p>
      <w:r>
        <w:t>capacité d'ester en justice, représentation de la SA en justice (art. 93 al. 1 let. a LTF) | Droit des contrats</w:t>
      </w:r>
    </w:p>
    <w:p>
      <w:pPr>
        <w:pStyle w:val="Heading2"/>
      </w:pPr>
      <w:r>
        <w:t>Erwägungen</w:t>
      </w:r>
    </w:p>
    <w:p>
      <w:r>
        <w:rPr>
          <w:b/>
        </w:rPr>
        <w:t>E. 1</w:t>
      </w:r>
    </w:p>
    <w:p>
      <w:r>
        <w:t>Le Tribunal fédéral examine d'office la recevabilité des recours qui lui sont soumis ( ATF 139 III 252 consid. 1; 139 V 42 consid. 1 p. 44).</w:t>
      </w:r>
    </w:p>
    <w:p>
      <w:r>
        <w:rPr>
          <w:b/>
        </w:rPr>
        <w:t>E. 1.1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En l'espèce, les décisions attaquées sont des décisions incidentes au sens de l' art. 93 LTF .</w:t>
      </w:r>
    </w:p>
    <w:p>
      <w:r>
        <w:rPr>
          <w:b/>
        </w:rPr>
        <w:t>E. 1.2</w:t>
      </w:r>
    </w:p>
    <w:p>
      <w:r>
        <w:t>Conformément à l' art. 93 al. 1 let. a LTF ,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134 III 188 consid. 2.1 p. 190 et consid. 2.2). Cette condition s'apprécie par rapport à la décision de première instance, et non par rapport à la décision d'irrecevabilité du recours rendue par le tribunal supérieur. En particulier, si la question qui a fait l'objet de la décision incidente de première instance peut être soulevée à l'appui d'un recours contre la décision finale ( art. 93 al. 3 LTF ), il n'y a pas de préjudice irréparable (arrêts 4A_248/2014 du 27 juin 2014 consid. 1.2.3; 5A_435/2010 du 28 juillet 2010 consid. 1.1.1; 5D_72/2009 du 9 juillet 2009 consid. 1.1).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(arrêt 5A_435/2010 précité consid. 1.1.1; pour des exceptions, cf. notamment les arrêts 5A_315/2012 du 28 août 2012 consid. 1.2.1; 4A_64/2011 du 1er septembre 2011 consid. 3 publié in sic! 1/2012 p. 52; 4A_195/2010 du 8 juin 2010 consid. 1.1.1; 5A_603/2009 du 26 octobre 2009 consid. 3.1). Cette réglementation est fondée sur des motifs d'économie de procédure, le Tribunal fédéral ne devant en principe s'occuper d'une affaire qu'une seule fois, lorsqu'il est certain que la partie recourante subit effectivement un dommage définitif ( ATF 134 III 188 consid. 2.2). Il incombe au recourant de démontrer l'existence d'un tel préjudice lorsque celui-ci n'est pas d'emblée évident ( ATF 137 III 522 consid. 1.3).</w:t>
      </w:r>
    </w:p>
    <w:p>
      <w:r>
        <w:rPr>
          <w:b/>
        </w:rPr>
        <w:t>E. 1.3</w:t>
      </w:r>
    </w:p>
    <w:p>
      <w:r>
        <w:t>La première décision à l'origine de l'arrêt attaqué, bien qu'elle soit intitulée " ordonnance sur preuves ", est en réalité matériellement une décision portant sur la capacité d'ester en justice de la société anonyme. La capacité d'ester en justice est le corollaire en procédure de l'exercice des droits civils ( art. 67 al. 1 CPC ). La personne morale a l'exercice des droits civils, à condition qu'elle possède les organes que la loi et les statuts exigent à cet effet ( art. 54 CC ). Elle exerce ses droits civils par l'intermédiaire de ses organes, qui expriment sa volonté à l'égard des tiers ( art. 55 al. 1 CC ). Il y a lieu d'entendre par là les organes exécutifs, et non l'organe législatif ou l'organe de contrôle (Leuenberger/Uffer-Tobler, Schweizerisches Zivilprozessrecht, 2010, n° 9.127; Bohnet, in La personne morale et l'entreprise en procédure, Bâle 2014, p. 15 n. 35, p. 18 n. 44 et p. 42 n. 122; Brönnimann, in Berner Kommentar, n° 3-4 et 9 ad art. 159 CPC ; Hasenböhler, in Kommentar zum Schweizerischen Zivilprozessordnung [ZPO], Sutter-Somm/Hasenböhler/Leuenberger (éd.), 2e éd. 2013, n° 3 ad art. 159 CPC ).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 art. 718 al. 1 CO ). En second lieu, la société peut être représentée en justice par un ou plusieurs des membres du conseil d'administration (délégués) ou par des tiers (directeurs), auxquels le conseil d'administration a délégué son pouvoir de représentation ( art. 718 al. 2 CO ; Leuenberger/Uffer-Tobler, loc. cit.; Bohnet, loc. cit.; Leu, in Schweizerische Zivilprozessordnung [ZPO], Brunner/Gasser/Schwander (éd.), 2011, n° 6 ad art. 159 CPC ). Toutes ces personnes sont organes, expriment directement la volonté de la société et sont inscrites au registre du commerce ( art. 720 CO ). En troisième lieu, sans avoir la qualité d'organes, en vertu de leurs pouvoirs de représentation, peuvent représenter la société en justice les fondés de procuration ( art. 458 CO ), qui sont inscrits au registre du commerce et n'ont pas besoin de pouvoir spécial pour plaider, à moins que leur procuration n'ait été restreinte ( art. 460 al. 3 CO ), ainsi que les mandataires commerciaux ( art. 462 CO ), qui ne sont pas inscrits au registre du commerce, à condition qu'ils aient reçu le pouvoir exprès de plaider ( art. 462 al. 2 CO ; dans ce sens déjà, pour la comparution à l'audience de conciliation: ATF 140 III 70 consid. 4.3 p. 72; cf. Leuch/Marbach/Kellerhals/Sterchi, Die Zivilprozessordnung für den Kanton Bern, 5e éd., 2000, n° 1a ad art. 83 aCPC/BE). Chacune des personnes habilitée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 Savoir quelle (s) personne (s) est (sont) habilitée (s) à représenter la société anonyme en procédure ressortit ainsi à la capacité d'ester en justice de celle-ci. Il s'agit d'une condition de recevabilité de la demande ( art. 59 al. 2 let . c CPC). Le fait que cette ou ces personnes ne doivent ensuite être interrogées que comme partie ( art. 159 CPC en relation avec les art. 163-164 et 191-192 CPC), et non comme témoin (art. 169 ss en relation avec les art. 165-167 CC ), qu'elles peuvent donc avoir des contacts avec l'avocat de la société anonyme, peuvent assister aux audiences au cours desquelles sont notamment interrogés les témoins, n'en est qu'une conséquence.</w:t>
      </w:r>
    </w:p>
    <w:p>
      <w:r>
        <w:rPr>
          <w:b/>
        </w:rPr>
        <w:t>E. 1.4</w:t>
      </w:r>
    </w:p>
    <w:p>
      <w:r>
        <w:t>En l'espèce, la cour cantonale n'a pas dénié à la société défenderesse la capacité d'ester en justice, ayant choisi qu'elle serait représentée au procès par C.________, de sorte que la question de la recevabilité du recours sous l'angle de l' art. 93 al. 1 let. b LTF n'entre pas en considération. En n'admettant comme représentant de la société défenderesse qu'une seule personne, C.________ - qui, au demeurant, n'a que la signature collective à deux -, la cour cantonale a privé la société de son droit de désigner le membre du conseil d'administration, le directeur, le fondé de procuration ou le mandataire commercial, ce dernier avec pouvoir exprès pour plaider, qui ont personnellement connaissance des faits de la cause pour la représenter en justice. Une telle décision est susceptible de causer un préjudice irréparable au sens de l' art. 93 al. 1 let. a LTF , dès lors que la question de savoir si une autre personne ou d'autres personnes auraient pu également représenter la société ne pourra pratiquement pas être soulevée avec la décision finale. Les mêmes considérations valent pour la décision prise en audience du 6 janvier 2014, laquelle n'est que la conséquence de la décision du 23 décembre 2014.</w:t>
      </w:r>
    </w:p>
    <w:p>
      <w:r>
        <w:rPr>
          <w:b/>
        </w:rPr>
        <w:t>E. 2</w:t>
      </w:r>
    </w:p>
    <w:p>
      <w:r>
        <w:t>Il s'ensuit que c'est à tort que la cour cantonale a refusé d'entrer en matière sur le recours interjeté par la société, la condition du préjudice irréparable admise ici au sens de l' art. 93 al. 1 let. a LTF réalisant a fortiori la condition du préjudice difficilement réparable de l' art. 319 let. b ch. 2 CPC ( ATF 137 III 380 consid. 2 p. 384). L'arrêt attaqué doit donc être annulé et la cause renvoyée à la cour cantonale pour qu'elle entre en matière sur le recours de la société défenderesse. Contrairement à ce que demande la recourante, le Tribunal fédéral n'est en effet pas en mesure de statuer sur le fond: il ne résulte pas de l'extrait du registre du commerce figurant au dossier que C.________ - qui aurait d'ailleurs quitté entre-temps la société - serait administrateur, ni qu'il aurait le pouvoir de représenter à lui seul la société, puisqu'il ne dispose que de la signature collective à deux. Il en est de même de D.________, administrateur secrétaire, et des quatre autres personnes par lesquelles la recourante souhaite être représentée. Au demeurant, si la société doit pouvoir désigner pour la représenter la personne qui a connaissance des faits de la cause, il appartient au tribunal de diriger la procédure et l'administration des preuves et, en particulier, de désigner parmi les différentes personnes que la société entend faire interroger celle qui le sera (cf. pour la procédure fédérale, l' art. 63 al. 2 PCF ).</w:t>
      </w:r>
    </w:p>
    <w:p>
      <w:r>
        <w:rPr>
          <w:b/>
        </w:rPr>
        <w:t>E. 3</w:t>
      </w:r>
    </w:p>
    <w:p>
      <w:r>
        <w:t>Vu le sort du recours, les frais de la procédure doivent être mis à la charge de l'intimé, qui a conclu à l'irrecevabilité, respectivement au rejet du recours ( art. 66 al. 1 LTF ). L'intimé devra verser en outre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