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4A_415/2007 vom 14. Januar 2008</w:t>
      </w:r>
    </w:p>
    <w:p>
      <w:r>
        <w:t>Bundesgericht, 2008-01-14, DE</w:t>
      </w:r>
    </w:p>
    <w:p>
      <w:r>
        <w:rPr>
          <w:b/>
        </w:rPr>
        <w:t xml:space="preserve">Quelle: </w:t>
      </w:r>
      <w:r>
        <w:t>https://mcp.opencaselaw.ch/entscheid/bger_4A_415_2007</w:t>
      </w:r>
    </w:p>
    <w:p>
      <w:r>
        <w:t>FR: TF 4A_415/2007 du 14 janvier 2008</w:t>
      </w:r>
    </w:p>
    <w:p>
      <w:r>
        <w:t>IT: TF 4A_415/2007 del 14 gennaio 2008</w:t>
      </w:r>
    </w:p>
    <w:p>
      <w:pPr>
        <w:pStyle w:val="Heading2"/>
      </w:pPr>
      <w:r>
        <w:t>Erwägungen</w:t>
      </w:r>
    </w:p>
    <w:p>
      <w:r>
        <w:rPr>
          <w:b/>
        </w:rPr>
        <w:t>E. 1.1</w:t>
      </w:r>
    </w:p>
    <w:p>
      <w:r>
        <w:t>Die Beschwerde in Zivilsachen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(zur Publikation vorgesehenes Urteil 4A_155/2007 vom 9. Oktober 2007, E. 1.2; BGE 133 II 249 E. 1.4.1).</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Der Beschwerdeführer bringt vor, die Vorinstanz hätte nur die wirtschaftliche Bewegungsfreiheit von C.________ als in einem Art. 27 Abs. 2 ZGB verletzenden Ausmass eingeschränkt erachtet. Dagegen sei die Bewegungsfreiheit der Zedentin Y.________ GmbH nicht thematisiert worden. Die Abtretung auf Grundlage des Schriftstücks "Forderungsverzicht und Abtretung" vom 18. Dezember 2002 sei auf die Forderungen im Zusammenhang mit der Produktion des Getränkes "B.________" beschränkt und verstosse daher nicht gegen Art. 27 Abs. 2 ZGB . Indem die Vorinstanz die Abtretung gemäss "Forderungsverzicht und Abtretung" vom 18. Dezember 2002 als nichtig erachtete, habe sie Art. 20 Abs. 1 sowie Art. 164 OR verletzt.</w:t>
      </w:r>
    </w:p>
    <w:p>
      <w:r>
        <w:t>Die Rüge des Beschwerdeführers ist berechtigt. Vorliegend steht die Abtretung einer Forderung der Y.________ GmbH an den Beschwerdeführer in Frage. Die Feststellung der Vorinstanz, wonach die mit "Erklärung und Vertrag" überschriebene Vereinbarung vom 18. Dezember 2002 die wirtschaftliche Bewegungsfreiheit von C.________ in einem Ausmass eingeschränkt habe, das vor Art. 27 Abs. 2 ZGB nicht standhalte, reicht nicht aus, um auch von einer Nichtigkeit der Abtretungserklärung "Forderungsverzicht und Abtretung" vom 18. Dezember 2002 im Sinne von Art. 20 Abs. 1 OR auszugehen. C.________ unterzeichnete die fragliche Abtretungserklärung nicht in eigenem Namen, sondern als Geschäftsführer der Y.________ GmbH. Dass die wirtschaftliche Bewegungsfreiheit der abtretenden Gesellschaft in einem unzulässigen Ausmass eingeschränkt worden sein soll, und die Abtretung deshalb nichtig wäre, legte die Vorinstanz nicht dar. Auch wenn der von der Vorinstanz festgestellte Zusammenhang zwischen der Abtretungserklärung ("Forderungsverzicht und Abtretung") und der Vereinbarung ("Erklärung und Vertrag") vom 18. Dezember 2002 bestehen sollte, was vom Beschwerdeführer bestritten wird, wäre angesichts der Nichtigkeit der unzulässigen Totalabtretung der Forderungen von C.________ nicht ohne Weiteres auch die gegenständlich auf die Forderungen aus der Produktion von "B.________" beschränkte Abtretung durch die Y.________ GmbH als nichtig zu betrachten. Soweit die Vorinstanz die Abtretungserklärung der Y.________ GmbH gestützt auf Art. 27 Abs. 2 ZGB als nichtig erachtet hat, ohne auf die Frage der Einschränkung der wirtschaftlichen Bewegungsfreiheit dieser Gesellschaft einzugehen, ist ihr Entscheid mit Bundesrecht unvereinbar.</w:t>
      </w:r>
    </w:p>
    <w:p>
      <w:r>
        <w:rPr>
          <w:b/>
        </w:rPr>
        <w:t>E. 3.1</w:t>
      </w:r>
    </w:p>
    <w:p>
      <w:r>
        <w:t>Die Vorinstanz ging auch unabhängig von der Vereinbarung ("Erklärung und Vertrag") vom 18. Dezember 2002 von der Nichtigkeit der gleichentags unterzeichneten Abtretungserklärung der Y.________ GmbH aus. Die fragliche Abtretung sei nicht einmal drei Monate vor der Eröffnung des Konkurses über die Y.________ GmbH vom 10. März 2003 erfolgt, wobei sich sowohl der Beschwerdeführer als auch der Geschäftsführer C.________ bewusst gewesen seien, dass die Gesellschaft im damaligen Zeitpunkt überschuldet war. Die Abtretung sämtlicher Forderungen aus der Produktion von "B.________" sei unter diesem Gesichtspunkt als unübliche Tilgung einer Geldschuld im Sinne von Art. 287 Abs. 1 Ziff. 2 SchKG und damit als widerrechtliche Gläubigerbevorzugung im Sinne von Art. 167 StGB zu betrachten. Entsprechend erweise sich die Abtretungserklärung vom 18. Dezember 2002 auch für sich allein genommen als widerrechtlich und damit nichtig im Sinne von Art. 20 Abs. 1 OR . Der Beschwerdeführer rügt in diesem Zusammenhang eine Verletzung von Art. 167 StGB , Art. 287 Abs. 1 Ziff. 2 und Art. 288 SchKG sowie Art. 20 OR .</w:t>
      </w:r>
    </w:p>
    <w:p>
      <w:r>
        <w:rPr>
          <w:b/>
        </w:rPr>
        <w:t>E. 3.2</w:t>
      </w:r>
    </w:p>
    <w:p>
      <w:r>
        <w:t>Die Erwägung der Vorinstanz, wonach aufgrund einer widerrechtlichen Gläubigerbevorzugung ( Art. 167 StGB ) von einer nichtigen Abtretung im Sinne von Art. 20 Abs. 1 OR auszugehen sei, erweist sich als unzutreffend.</w:t>
      </w:r>
    </w:p>
    <w:p>
      <w:r>
        <w:rPr>
          <w:b/>
        </w:rPr>
        <w:t>E. 3.2.1</w:t>
      </w:r>
    </w:p>
    <w:p>
      <w:r>
        <w:t>Widerrechtlich im Sinne von Art. 20 Abs. 1 OR ist ein Vertrag nach der Rechtsprechung des Bundesgerichts dann, wenn sein Gegenstand, der Abschluss mit dem vereinbarten Inhalt oder sein mittelbarer Zweck gegen objektives Recht verstösst, wozu auch die Normen des Strafrechts gehören (zur Publikation vorgesehenes Urteil 4A_275/2007 vom 27. November 2007, E. 1.1; BGE 114 II 279 E. 2a S. 281). Voraussetzung der Nichtigkeit ist jedoch, dass diese Rechtsfolge ausdrücklich im betreffenden Gesetz vorgesehen ist oder sich aus Sinn und Zweck der verletzten Norm ergibt (zur Publikation vorgesehenes Urteil 4A_275/2007 vom 27. November 2007, E. 1.1; BGE 123 III 292 E. 2e/aa S. 299; 119 II 222 E. 2 S. 224, je mit Hinweisen).</w:t>
      </w:r>
    </w:p>
    <w:p>
      <w:r>
        <w:rPr>
          <w:b/>
        </w:rPr>
        <w:t>E. 3.2.2</w:t>
      </w:r>
    </w:p>
    <w:p>
      <w:r>
        <w:t>Art. 167 StGB verbietet dem Schuldner, der sich seiner Zahlungsunfähigkeit bewusst ist, in der Absicht, einzelne Gläubiger zum Nachteil anderer zu bevorzugen, darauf abzielende Handlungen vorzunehmen. So ist es ihm insbesondere untersagt, nicht verfallene Schulden zu bezahlen, eine verfallene Schuld anders als durch übliche Zahlungsmittel zu tilgen oder eine Schuld aus eigenen Mitteln sicherzustellen, ohne dass er dazu verpflichtet war. Art. 167 StGB lehnt sich an die Absichtsanfechtung nach Art. 288 SchKG an, spricht sich jedoch nicht über die zivilrechtlichen Konsequenzen eines Verstosses gegen diese Strafnorm aus (vgl. zur Publikation vorgesehenes Urteil 4A_275/2007 vom 27. November 2007, E. 1.3.2). Gemäss Art. 285 Abs. 1 SchKG sollen mit der Anfechtungsklage Vermögenswerte der Zwangsvollstreckung zugeführt werden, die ihr durch eine Rechtshandlung nach den Art. 286 bis 288 SchKG entzogen worden sind. Dabei hat die Gutheissung der Anfechtungsklage nicht die zivilrechtliche Ungültigkeit des angefochtenen Rechtsgeschäfts zur Folge; dessen zivilrechtliche Wirkungen sind lediglich betreibungsrechtlich unbeachtlich, so dass der Vermögenswert in die Zwangsverwertung einbezogen und verwertet werden kann (zur Publikation vorgesehenes Urteil 4A_275/2007 vom 27. November 2007, E. 1.3.3; Bauer, Basler Kommentar, SchKG III, N. 10 zu Art. 291 SchKG ; Amonn/Walther, Grundriss des Schuldbetreibungs- und Konkursrechts, 7. Aufl., Bern 2003, § 52 N. 2).</w:t>
      </w:r>
    </w:p>
    <w:p>
      <w:r>
        <w:t>Die Bestimmungen des StGB über die Betreibungs- und Konkursdelikte, so unter anderem Art. 167 StGB , ergänzen diesen Schutz der Gläubiger gemäss SchKG, ohne vom System dieses Gläubigerschutzes abweichen zu wollen. Der Schutz von Drittpersonen, namentlich des Schuldners einer zedierten Forderung, ist nicht Zweck von Art. 167 StGB . Ein Verstoss gegen diese Strafnorm hat daher nicht die Nichtigkeit des verpönten Rechtsgeschäfts zur Folge (vgl. zur Publikation vorgesehenes Urteil 4A_275/2007 vom 27. November 2007, E. 1.3.4). Die Vorinstanz hat daher Bundesrecht verletzt, als sie gestützt auf Art. 167 StGB und Art. 20 Abs. 1 OR von der Nichtigkeit der Abtretungserklärung vom 18. Dezember 2002 ausging.</w:t>
      </w:r>
    </w:p>
    <w:p>
      <w:r>
        <w:rPr>
          <w:b/>
        </w:rPr>
        <w:t>E. 4</w:t>
      </w:r>
    </w:p>
    <w:p>
      <w:r>
        <w:t>Die Begründung der Vorinstanz für die Abweisung der Klage hält einer Überprüfung nicht stand. Über den Hauptantrag des Beschwerdeführers auf Gutheissung der Klage (Ziffer 1 der Beschwerde) kann jedoch nicht entschieden werden, da die dafür erforderlichen tatsächlichen Feststellungen fehlen. Entsprechend ist die Beschwerde in Zivilsachen teilweise gutzuheissen, das Urteil des Kantonsgerichts Wallis vom 5. September 2001 ist gemäss Eventualantrag (Ziffer 2 der Beschwerde) aufzuheben und die Sache gestützt auf Art. 107 Abs. 2 BGG zu neuer Beurteilung an die Vorinstanz zurückzuweisen. Dabei wird insbesondere auch die von der Vorinstanz offen gelassene Frage der Verrechnung der eingeklagten Forderung mit allfälligen Gegenforderungen der Beschwerdegegnerin gegenüber der abtretenden Y.________ GmbH ( Art. 169 OR ) zu prüfen sein.</w:t>
      </w:r>
    </w:p>
    <w:p>
      <w:r>
        <w:t>Angesichts des offenen Ausgangs des kantonalen Verfahrens sind praxisgemäss die Gerichtskosten den Parteien zur Hälfte aufzuerlegen und die Parteikosten für das bundesgerichtliche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