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4A_414/2021 vom 30. August 2021</w:t>
      </w:r>
    </w:p>
    <w:p>
      <w:r>
        <w:t>Bundesgericht, 2021-08-30, DE</w:t>
      </w:r>
    </w:p>
    <w:p>
      <w:r>
        <w:rPr>
          <w:b/>
        </w:rPr>
        <w:t xml:space="preserve">Quelle: </w:t>
      </w:r>
      <w:r>
        <w:t>https://mcp.opencaselaw.ch/entscheid/bger_4A_414_2021</w:t>
      </w:r>
    </w:p>
    <w:p>
      <w:r>
        <w:t>FR: TF 4A_414/2021 du 30 août 2021</w:t>
      </w:r>
    </w:p>
    <w:p>
      <w:r>
        <w:t>IT: TF 4A_414/2021 del 30 agosto 2021</w:t>
      </w:r>
    </w:p>
    <w:p>
      <w:pPr>
        <w:pStyle w:val="Heading2"/>
      </w:pPr>
      <w:r>
        <w:t>Erwägungen</w:t>
      </w:r>
    </w:p>
    <w:p>
      <w:r>
        <w:rPr>
          <w:b/>
        </w:rPr>
        <w:t>E. 1</w:t>
      </w:r>
    </w:p>
    <w:p>
      <w:r>
        <w:t>Mit Eingabe vom 9. Februar 2021 beantragte die Beschwerdegegnerin dem "Mietgericht Bülach, Einzelgericht im vereinfachten Verfahren" die Ausweisung der Beschwerdeführer aus der 6-Zimmer-Wohnung im DG rechts (inkl. Keller) an der U.________strasse in V.________. Mit Verfügung vom 11. Mai 2021 wurde das Verfahren an das Mietgericht des Bezirksgerichts Bülach als Kollegialgericht überwiesen und am Mietgericht des Bezirksgerichts als Einzelgericht abgeschrieben.</w:t>
      </w:r>
    </w:p>
    <w:p>
      <w:r>
        <w:t>Mit Beschluss vom 16. Juni 2021 trat das Obergericht des Kantons Zürich auf eine gegen die mietgerichtliche Verfügung vom 11. Mai 2021 erhobene Beschwerde zufolge verspäteter Rechtsmitteleingabe nicht ein.</w:t>
      </w:r>
    </w:p>
    <w:p>
      <w:r>
        <w:t>Mit Eingabe vom 26. August 2021 erklärten die Beschwerdeführer dem Bundesgericht, den Beschluss des Obergerichts des Kantons Zürich vom 16. Juni 2021 mit Beschwerde anfechten zu wollen.</w:t>
      </w:r>
    </w:p>
    <w:p>
      <w:r>
        <w:t>Es wurden keine Vernehmlassungen eingeholt.</w:t>
      </w:r>
    </w:p>
    <w:p>
      <w:r>
        <w:rPr>
          <w:b/>
        </w:rPr>
        <w:t>E. 2</w:t>
      </w:r>
    </w:p>
    <w:p>
      <w:r>
        <w:t>Der Abteilungspräsident oder die Abteilungspräsidentin kann eine mündliche Parteiverhandlung anordnen ( Art. 57 BGG ). Gründe, aus denen im vorliegenden Fall nach übergeordnetem Recht eine Parteiverhandlung geboten wäre, werden in der Beschwerde nicht genannt und sind auch nicht ersichtlich. Vielmehr kann die Sache aufgrund der Akten entschieden werden und die Anordnung einer öffentlichen mündlichen Parteiverhandlung ist nicht angezeigt, weshalb der Antrag auf Durchführung einer solchen vor Bundesgericht abzuweisen ist.</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3.2</w:t>
      </w:r>
    </w:p>
    <w:p>
      <w:r>
        <w:t>Die Beschwerdeführer setzen sich in ihrer Beschwerdeeingabe vom 26. August 2021 nicht hinreichend mit den Erwägungen des angefochtenen Entscheids des Obergerichts des Kantons Zürich vom 16. Juni 2021 auseinander und zeigen insbesondere nicht auf, inwiefern die Vorinstanz mit ihrem Nichteintretensentscheid Bundesrecht verletzt hätte. Die Eingabe erfüllt damit die erwähnten Begründungsanforderungen offensichtlich nicht.</w:t>
      </w:r>
    </w:p>
    <w:p>
      <w:r>
        <w:t>Auf die Beschwerde ist somit mangels hinreichender Begründung nicht einzutreten ( Art. 108 Abs. 1 lit. b BGG ).</w:t>
      </w:r>
    </w:p>
    <w:p>
      <w:r>
        <w:rPr>
          <w:b/>
        </w:rPr>
        <w:t>E. 4</w:t>
      </w:r>
    </w:p>
    <w:p>
      <w:r>
        <w:t>Weil die 30-tägige Frist zur Einreichung der Beschwerde bereits am 27. August 2021 ablief, bestand von vornherein keine Möglichkeit mehr zum Beizug eines Rechtsbeistands zur fristgerechten Verbesserung der Beschwerde. Das Gesuch um unentgeltliche Verbeiständung für das bundesgerichtliche Beschwerdeverfahren ist damit gegenstandslos. Unter den gegebenen Umständen ist ausnahmsweise auf die Erhebung von Gerichtskosten zu verzichten (Art. 66 Abs. 1 zweiter Satz BGG), womit das auch das Gesuch um Befreiung von diesen Kosten im bundesgerichtlichen Beschwerdeverfahren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