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4A_413/2009 vom 11. November 2009</w:t>
      </w:r>
    </w:p>
    <w:p>
      <w:r>
        <w:t>Bundesgericht, 2009-11-11, FR</w:t>
      </w:r>
    </w:p>
    <w:p>
      <w:r>
        <w:rPr>
          <w:b/>
        </w:rPr>
        <w:t xml:space="preserve">Quelle: </w:t>
      </w:r>
      <w:r>
        <w:t>https://mcp.opencaselaw.ch/entscheid/bger_4A_413_2009</w:t>
      </w:r>
    </w:p>
    <w:p>
      <w:r>
        <w:t>FR: TF 4A_413/2009 du 11 novembre 2009</w:t>
      </w:r>
    </w:p>
    <w:p>
      <w:r>
        <w:t>IT: TF 4A_413/2009 del 11 novembre 2009</w:t>
      </w:r>
    </w:p>
    <w:p>
      <w:pPr>
        <w:pStyle w:val="Heading2"/>
      </w:pPr>
      <w:r>
        <w:t>Erwägungen</w:t>
      </w:r>
    </w:p>
    <w:p>
      <w:r>
        <w:rPr>
          <w:b/>
        </w:rPr>
        <w:t>E. 1</w:t>
      </w:r>
    </w:p>
    <w:p>
      <w:r>
        <w:t>Dans une contestation concernant la validité d'une résiliation de bail, selon la jurisprudence pertinente pour l'application des art. 51 al. 1 let. a, 51 al. 2 et 74 al. 1 let. a LTF, la valeur litigieuse est égale au loyer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 art. 271a al. 1 let . e CO ( ATF 111 II 384 consid. 1 p. 386; voir aussi ATF 119 II 147 consid. 1 p. 149). En l'espèce, le loyer d'une seule année excède la valeur litigieuse minimale qui est fixée à 15'000 francs.</w:t>
      </w:r>
    </w:p>
    <w:p>
      <w:r>
        <w:t>Pour le surplus, 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la défenderesse occupe son appartement sur la base d'un contrat de bail à loyer et celui-ci est éventuellement résiliable aux conditions de l' art. 257f CO .</w:t>
      </w:r>
    </w:p>
    <w:p>
      <w:r>
        <w:t>Aux termes des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rPr>
          <w:b/>
        </w:rPr>
        <w:t>E. 3</w:t>
      </w:r>
    </w:p>
    <w:p>
      <w:r>
        <w:t>La résiliation anticipée peut notamment intervenir lorsque le locataire affecte la chose à une utilisation incompatible avec les stipulations du contrat; il n'est alors pas nécessaire que la situation résultant de cette utilisation, considérée objectivement, se révèle grave au point d'être insupportable pour le bailleur. Les principes généraux de l'interprétation des contrats sont déterminants pour apprécier l'existence et la portée de stipulations explicites ou tacites concernant l'utilisation de la chose ( ATF 132 III 109 consid. 2 p. 110 et consid. 5 p. 113).</w:t>
      </w:r>
    </w:p>
    <w:p>
      <w:r>
        <w:t>Le juge doit tout d'abord s'efforcer de déterminer la commune et réelle intention des parties. S'il y parvient, il procède à une constatation de fait qui ne peut être contestée, en instance fédérale, que dans la mesure restreinte permise par l' art. 97 al. 1 LTF . Déterminer ce que les parties savent ou veulent au moment de conclure relève en effet de la constatation des faits.</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 131 III 606 consid. 4.1 p. 611).</w:t>
      </w:r>
    </w:p>
    <w:p>
      <w:r>
        <w:t>Dans la présente affaire, les conditions générales que les parties ont annexées au contrat excluent rigoureusement les activités professionnelles dans l'appartement loué; elles réservent toutefois une éventuelle convention contraire à ce sujet. La Chambre d'appel ne constate pas que les parties aient passé une convention expresse sur des cours de dessin et de peinture dans l'appartement. En dépit de ce qu'affirme la défenderesse, elle ne saurait donc avoir constaté la réelle et commune intention des parties lors de la conclusion de cette hypothétique convention.</w:t>
      </w:r>
    </w:p>
    <w:p>
      <w:r>
        <w:t>En revanche, la Chambre d'appel constate que dès 1986 au plus tôt, et au su des bailleurs successifs, la défenderesse a utilisé l'une des pièces de son appartement pour y donner des cours. A fin juin 2000, cette situation se prolongeait depuis près de quatorze ans et la défenderesse pouvait en inférer de bonne foi, selon le principe de la confiance, que son activité était tacitement acceptée. Il s'ensuit qu'à cette époque, la convention réservée par les conditions générales existait effectivement entre les parties. Elle a subsisté depuis et la bailleresse ne pouvait pas s'en délier de manière unilatérale. Contrairement à l'argumentation que celle-ci présente au Tribunal fédéral, sa lettre du 27 juin 2000 n'est pas une acceptation « à bien plaire » qui demeurerait, à l'avenir, sujette à révocation, puisque l'activité concernée était déjà acceptée sans réserve, de manière tacite.</w:t>
      </w:r>
    </w:p>
    <w:p>
      <w:r>
        <w:t>Il est constaté que ladite activité s'est « intensifiée » après que la défenderesse eut cessé d'enseigner à l'Institut M.________. L'horaire des cours et l'importance de leur fréquentation ne sont connus, en substance, qu'après ce changement; la décision attaquée ne fournit pas d'indications sur la situation antérieure. Il n'est donc pas établi que l'activité de la défenderesse ait augmenté dans une mesure si importante qu'elle soit devenue exorbitante de la convention tacite des parties. Le cas échéant, la demanderesse n'aurait de toute manière pas pu exiger, comme elle l'a fait, la cessation complète de cette activité, mais seulement sa réduction.</w:t>
      </w:r>
    </w:p>
    <w:p>
      <w:r>
        <w:t>Cette partie n'est donc pas fondée à se plaindre d'une utilisation de l'appartement qui fût incompatible avec les stipulations du bail à loyer et qui pût, pour ce motif, justifier la résiliation prévue par l' art. 257f CO .</w:t>
      </w:r>
    </w:p>
    <w:p>
      <w:r>
        <w:rPr>
          <w:b/>
        </w:rPr>
        <w:t>E. 4</w:t>
      </w:r>
    </w:p>
    <w:p>
      <w:r>
        <w:t>La résiliation anticipée peut encore intervenir, selon le texte de cette disposition, lorsque le locataire persiste à enfreindre son devoir de diligence ou à manquer d'égards envers les voisins. Le maintien du bail doit être devenu insupportable au bailleur ou aux habitants de la maison; cela suppose que le manquement imputable au locataire atteigne un certain degré de gravité (arrêt 4C.306/2003 du 20 février 2004, consid. 3.5, SJ 2004 I 442).</w:t>
      </w:r>
    </w:p>
    <w:p>
      <w:r>
        <w:t>Le juge apprécie librement, selon les règles du droit et de l'équité ( art. 4 CC ), si la résiliation anticipée répond à un motif suffisamment grave ( ATF 132 III 109 consid. 2 p. 110); à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133 III 257 consid. 3.2 p. 272).</w:t>
      </w:r>
    </w:p>
    <w:p>
      <w:r>
        <w:t>La demanderesse s'est plainte des allées et venues des élèves dans le bâtiment, lesquelles, en particulier, dérangeaient son mari. Cela ne suffit évidemment pas à établir des nuisances objectivement graves, excédant ce que chacun doit tolérer dans une maison où d'autres personnes sont en droit d'habiter et d'exercer certaines activités. Quoi qu'en pense la demanderesse, il est sans importance qu'il n'y eût pas d'autres habitants susceptibles d'être dérangés. La fermeture permanente de la porte d'entrée, dès décembre 2003, sans moyen d'appeler depuis l'extérieur, était inadéquate compte tenu que l'une des locataires - la défenderesse - recevait régulièrement des visiteurs. La demanderesse a d'ailleurs mis fin à cette situation en installant un interphone. Dans l'intervalle, la communication du code d'accès aux élèves ne constituait certainement pas un manquement grave au devoir de diligence de la défenderesse. Dans ces conditions, la Chambre d'appel peut juger sans abus de son pouvoir d'appréciation que les circonstances ne justifiaient pas la résiliation prévue par l' art. 257f CO .</w:t>
      </w:r>
    </w:p>
    <w:p>
      <w:r>
        <w:rPr>
          <w:b/>
        </w:rPr>
        <w:t>E. 5</w:t>
      </w:r>
    </w:p>
    <w:p>
      <w:r>
        <w:t>La résiliation injustifiée étant dépourvue d'effet juridique ( ATF 121 III 156 consid. 1c/aa p. 161), le bail à loyer s'est poursuivi et, en l'état, la demanderesse n'est pas en droit d'exiger la restitution de la chose louée.</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