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4A_40/2009 vom 9. Juni 2009</w:t>
      </w:r>
    </w:p>
    <w:p>
      <w:r>
        <w:t>Bundesgericht, 2009-06-09, DE</w:t>
      </w:r>
    </w:p>
    <w:p>
      <w:r>
        <w:rPr>
          <w:b/>
        </w:rPr>
        <w:t xml:space="preserve">Quelle: </w:t>
      </w:r>
      <w:r>
        <w:t>https://mcp.opencaselaw.ch/entscheid/bger_4A_40_2009</w:t>
      </w:r>
    </w:p>
    <w:p>
      <w:r>
        <w:t>FR: TF 4A_40/2009 du 9 juin 2009</w:t>
      </w:r>
    </w:p>
    <w:p>
      <w:r>
        <w:t>IT: TF 4A_40/2009 del 9 giugno 2009</w:t>
      </w:r>
    </w:p>
    <w:p>
      <w:pPr>
        <w:pStyle w:val="Heading2"/>
      </w:pPr>
      <w:r>
        <w:t>Erwägungen</w:t>
      </w:r>
    </w:p>
    <w:p>
      <w:r>
        <w:rPr>
          <w:b/>
        </w:rPr>
        <w:t>E. 1</w:t>
      </w:r>
    </w:p>
    <w:p>
      <w:r>
        <w:t>Die Beschwerdeführer fechten vor Bundesgericht lediglich die Zusprechung der Verzugszinsen für den Betrag von Fr. 740'151.-- und den Kostenentscheid, konkret die Bestimmung des hierfür massgebenden Streitwerts, an.</w:t>
      </w:r>
    </w:p>
    <w:p>
      <w:r>
        <w:rPr>
          <w:b/>
        </w:rPr>
        <w:t>E. 2</w:t>
      </w:r>
    </w:p>
    <w:p>
      <w:r>
        <w:t>Hinsichtlich der Verzugszinsen erwog die Vorinstanz, die fragliche Forderung habe eine gesellschaftsrechtliche Grundlage ( Art. 579 OR ), woran auch deren Einbezug in die güterrechtliche Auseinandersetzung nichts geändert habe. Entsprechend richte sich die Frage des Verzugs nicht nach den güterrechtlichen Regeln. Der Beschwerdeführer 2 sei daher zu Recht zur Bezahlung von Verzugszinsen verurteilt worden, ebenso die Beschwerdeführerin 1, welche an der güterrechtlichen Auseinandersetzung nicht beteiligt gewesen sei. Weiter erwog die Vorinstanz, die Abfindungsforderung der Beschwerdegegnerin sei am 22. November 2002 (Zeitpunkt der Anerkennung) fällig und mit Schreiben vom 19. Dezember 2002 an die damalige Vertreterin der Beschwerdeführer gemahnt worden. Die Zusprechung von Verzugszinsen ab 19. Januar 2003, wie beantragt, sei daher rechtens.</w:t>
      </w:r>
    </w:p>
    <w:p>
      <w:r>
        <w:rPr>
          <w:b/>
        </w:rPr>
        <w:t>E. 3.1</w:t>
      </w:r>
    </w:p>
    <w:p>
      <w:r>
        <w:t>Die Beschwerdeführer machen eine Verletzung von Art. 240 ZGB und des Grundsatzes der res iudicata geltend. Die Forderung der Beschwerdegegnerin sei im Rahmen des Ehescheidungsverfahrens zu prüfen gewesen. Gemäss Art. 240 ZGB erfolge die Bewertung der Aktiven und Passiven der Ehegatten zum Zeitpunkt der güterrechtlichen Auseinandersetzung beziehungsweise der Rechtskraft des Scheidungsurteils. Dannzumal sei der Beschwerdegegnerin die Forderung von Fr. 740'151.-- zugesprochen worden und somit inklusive allfällige Wertveränderungen oder Verzugszinsen. Das Scheidungsurteil sei am 24. Februar 2006 in Rechtskraft erwachsen. Damit habe auch die Beschwerdegegnerin die Bewertung ihrer Teilforderung "Kapitalanteil an Kollektivgesellschaft" inklusive allfälliger Zinsen akzeptiert. Es bleibe daher kein Raum, auf der nämlichen, bereits abschliessend gerichtlich beurteilten und fixierten Gesamtforderung ergänzend rückwirkend Verzugszinsen zuzusprechen.</w:t>
      </w:r>
    </w:p>
    <w:p>
      <w:r>
        <w:rPr>
          <w:b/>
        </w:rPr>
        <w:t>E. 3.2</w:t>
      </w:r>
    </w:p>
    <w:p>
      <w:r>
        <w:t>Mit dieser Rüge verkennen die Beschwerdeführer, dass die eingeklagte Abfindungsforderung ihre Grundlage im Gesellschaftsrecht hat.</w:t>
      </w:r>
    </w:p>
    <w:p>
      <w:r>
        <w:t>Art. 240 ZGB unterscheidet zwischen dem massgeblichen Zeitpunkt für den Bestand des Gesamtgutes und demjenigen für den bei den einzelnen Vermögensgegenständen einzusetzenden Wert. Der erste Zeitpunkt ist die Auflösung des Güterstandes, der zweite die güterrechtliche Auseinandersetzung. Nach dem ersten Zeitpunkt kommt grundsätzlich kein neues Gesamtgut mehr hinzu (HAUSHEER/AEBI-MÜLLER, Basler Kommentar, N. 1 zu Art. 240 ZGB ).</w:t>
      </w:r>
    </w:p>
    <w:p>
      <w:r>
        <w:t>Vorliegend fällt der Zeitpunkt der Auflösung des Güterstandes auf den 30. April 2001 (Einreichung des Scheidungsbegehrens). Zum damaligen Zeitpunkt befanden sich je die Anteile der Beschwerdegegnerin und des Beschwerdeführers 2 an der Kollektivgesellschaft im Gesamtgut. Dannzumal bestand die Abfindungsforderung geschweige denn die Verzugszinsforderung der Beschwerdegegnerin noch nicht. Dies änderte mit dem Ausscheiden der Beschwerdegegnerin aus der Kollektivgesellschaft per 31. Dezember 2001, mit dem eine Abfindungsforderung der Beschwerdegegnerin nach Art. 579 OR entstand. Diese richtete sich gegen den einzig verbleibenden Gesellschafter, den Beschwerdeführer 2 und war als Surrogat des Anteils der Beschwerdegegnerin an der aufgelösten Kollektivgesellschaft in die güterrechtliche Auseinandersetzung einzubeziehen. Mit der Gründung der Beschwerdeführerin 1 am 20. Dezember 2002 haftete der Beschwerdegegnerin für ihre Abfindungsforderung neu die Beschwerdeführerin 1 aus der Übernahme der Aktiven und Passiven und solidarisch weiterhin der Beschwerdeführer 2 ( Art. 181 OR ). Die eingeklagte Abfindungsforderung hat damit ihre Grundlage im Gesellschaftsrecht ( Art. 579 OR ), auch wenn sie im Rahmen der güterrechtlichen Auseinandersetzung zu berücksichtigen war. Bei dieser Rechtslage kann nicht gesagt werden, der Scheidungsrichter habe, indem er der Beschwerdegegnerin eine Forderung von Fr. 740'151.-- zusprach, insofern eine verbindliche Bewertung der Forderung vorgenommen, als dass darin ein Verzicht der Beschwerdegegnerin auf Verzugszinsen zu erblicken wäre, wenn sie diesen Entscheid unangefochten liess. Vielmehr richtet sich die Frage des Verzuges der gesellschaftsrechtlich begründeten Forderung nach der allgemeinen Regelung von Art. 102 ff. OR . Dies hat die Vorinstanz zutreffend erkannt.</w:t>
      </w:r>
    </w:p>
    <w:p>
      <w:r>
        <w:rPr>
          <w:b/>
        </w:rPr>
        <w:t>E. 4.1</w:t>
      </w:r>
    </w:p>
    <w:p>
      <w:r>
        <w:t>Die Beschwerdeführer rügen sodann eine Verletzung von Art. 102 Abs. 1 OR . Verzug sei schon deshalb nicht eingetreten, weil es der Beschwerdegegnerin aufgrund der Abschreibungsverfügung des Gerichtspräsidiums Muri vom 25. September 2002 im Massnahmeverfahren SU 2002.50178 offen gestanden sei, ab September 2002 von den gemeinsamen Konti des Beschwerdeführers 2 und der Beschwerdegegnerin bei der UBS AG Fr. 800'000.--, also sogar mehr als die Forderung von Fr. 740'151.--, zu beziehen, was sie aber nicht getan habe. Die Vorinstanz, welche sich damit nicht auseinandergesetzt habe, habe in diesem Punkt den Sachverhalt offensichtlich unvollständig und damit unrichtig festgestellt.</w:t>
      </w:r>
    </w:p>
    <w:p>
      <w:r>
        <w:rPr>
          <w:b/>
        </w:rPr>
        <w:t>E. 4.2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w:t>
      </w:r>
    </w:p>
    <w:p>
      <w:r>
        <w:t>Der Beschwerdeführer, der die Sachverhaltsfeststellungen der Vorinstanz anfechten will,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(vgl. BGE 133 II 249 E. 1.4.3; 133 III 350 E. 1.3, 393 E. 7.1, 462 E. 2.4). Soweit er den Sachverhalt ergänzen will, hat er mit Aktenhinweisen darzulegen, dass er entsprechende rechtsrelevante Tatsachen und taugliche Beweismittel bereits bei den Vorinstanzen prozessrechtskonform eingebracht hat (Urteile 4A_214/2008 vom 9. Juli 2008 E. 1.2, nicht publ. in BGE 134 III 570 ; 4A_526/2008 vom 21. Januar 2009 E. 3.2).</w:t>
      </w:r>
    </w:p>
    <w:p>
      <w:r>
        <w:rPr>
          <w:b/>
        </w:rPr>
        <w:t>E. 4.3</w:t>
      </w:r>
    </w:p>
    <w:p>
      <w:r>
        <w:t>Die Beschwerdeführer legen nicht in einer diesen Anforderungen genügenden Weise dar, dass sie schon im kantonalen Verfahren prozessrechtskonform behauptet und belegt hätten, dass die Beschwerdegegnerin berechtigt war, alleine - ohne Zustimmung des Beschwerdeführers 2 - von den gemeinsamen Konti bei der UBS AG Fr. 800'000.-- zu beziehen oder dass der Beschwerdeführer 2 eine allfällig nötige Zustimmung erteilt hätte. Der pauschale Hinweis auf die Appellationsschrift genügt nicht. Auch der Hinweis auf S. 13 der Anschlussappellationsantwort, wo dazu Ausführungen gemacht worden seien, ermöglicht keine Sachverhaltsergänzung durch das Bundesgericht, da die Beschwerdeführer nicht darlegen, dass entsprechende Tatsachen rechtzeitig und damit prozesskonform in das kantonale Verfahren eingebracht, von der Vorinstanz aber übersehen worden wären. Dem angefochtenen Urteil ist zu entnehmen, dass sie das Verfahren SU 2002.50178 vor Bezirksgericht lediglich im Zusammenhang mit einer allfälligen Stundung erwähnten. Da keine Sachverhaltsergänzung erfolgen kann, ist dieser Rüge der Beschwerdeführer von vornherein die Grundlage entzogen. Für die Annahme eines den Schuldnerverzug ausschliessenden Gläubigerverzugs, dass also die Beschwerdeführer die Leistung inklusive einer allfällig bereits eingetretenen Verzugsfolgenentschädigung angeboten hätten, die Beschwerdegegnerin aber deren Annahme verweigert hätte (vgl. WIEGAND, Basler Kommentar, N. 12 zu Art. 102 OR ), fehlt es somit bereits an entsprechenden tatsächlichen Feststellungen.</w:t>
      </w:r>
    </w:p>
    <w:p>
      <w:r>
        <w:t>Im Übrigen trifft es nicht zu, dass der Verzug ein Verschulden des Schuldners voraussetzen würde, wie die Beschwerdeführer vorbringen. Der Schuldner einer Geldschuld hat, soweit nichts anderes vereinbart worden ist, von Gesetzes wegen Verzugszins zu zahlen, sobald er mit der Zahlung der Schuld in Verzug gerät ( Art. 104 Abs. 1 OR ). Dieser Regelung liegt die Fiktion zugrunde, dass der verzugsbelastete Schuldner bis zur Erfüllung weiterhin über den Geldbetrag verfügen kann und der Gläubiger dadurch eine entsprechende Vermögenseinbusse erleidet. Es bedarf weder eines Schadensnachweises durch den Gläubiger noch eines Verschuldens des Schuldners, weshalb dieser auch dann Verzugszins zahlen muss, wenn er im Zeitpunkt des Verzugseintritts von seiner Zahlungspflicht oder deren Höhe keine Kenntnis hatte ( BGE 129 III 535 E. 3.1 S. 540).</w:t>
      </w:r>
    </w:p>
    <w:p>
      <w:r>
        <w:rPr>
          <w:b/>
        </w:rPr>
        <w:t>E. 5</w:t>
      </w:r>
    </w:p>
    <w:p>
      <w:r>
        <w:t>Die Beschwerdeführer erblicken schliesslich darin, dass die Vorinstanz den Zugang des Mahnschreibens vom 19. Dezember 2002 an die Beschwerdeführer als erwiesen betrachtet habe, eine Verletzung von Art. 8 ZGB . Sie hätten die Ausführungen der Gegenpartei vollumfänglich bestritten. Die Beschwerdegegnerin hätte daher ihre Behauptung, dass den Beschwerdeführern ihr Schreiben vom 19. Dezember 2002 auch tatsächlich zugegangen sei, zum Beweis verstellen müssen, was sie aber nicht getan habe.</w:t>
      </w:r>
    </w:p>
    <w:p>
      <w:r>
        <w:t>Die Vorinstanz hat die generelle Bestreitung der Beschwerdeführer nicht übersehen, jedoch offenbar nicht genügen lassen. Die erst im Appellationsverfahren erhobene konkrete Bestreitung, dass ihnen das Mahnschreiben vom 19. Dezember 2002 tatsächlich nicht zugegangen sei, wies sie als verspätet und damit als unzulässiges Novum zurück. Die Beschwerdeführer zeigen nicht auf, dass die Vorinstanz das diesbezüglich einschlägige kantonale Prozessrecht willkürlich angewendet hätte (vgl. Art. 106 Abs. 2 BGG ; BGE 134 II 244 E. 2.2 und E. 3 S. 352; 133 III 439 E. 3.2). Eine Verletzung von Art. 8 ZGB ist nicht ersichtlich.</w:t>
      </w:r>
    </w:p>
    <w:p>
      <w:r>
        <w:rPr>
          <w:b/>
        </w:rPr>
        <w:t>E. 6</w:t>
      </w:r>
    </w:p>
    <w:p>
      <w:r>
        <w:t>In einem letzten Punkt richten sich die Beschwerdeführer gegen die vorinstanzliche Beurteilung des Streitwertes. Die Bestimmung des für den Kostenentscheid massgebenden Streitwerts richtet sich nach kantonalem Verfahrensrecht. Dessen Anwendung überprüft das Bundesgericht nur, soweit darin eine Verletzung von Bundesrecht, namentlich des Willkürverbots, liegt ( Art. 95 BGG ). Die Beschwerdeführer begnügen sich damit, die Streitwertberechnung als "falsch" zu bezeichnen. Eine Willkürrüge erheben sie nicht. Auf ihre diesbezüglichen Ausführungen kann nicht eingetreten werden.</w:t>
      </w:r>
    </w:p>
    <w:p>
      <w:r>
        <w:rPr>
          <w:b/>
        </w:rPr>
        <w:t>E. 7</w:t>
      </w:r>
    </w:p>
    <w:p>
      <w:r>
        <w:t>Die Beschwerde ist somit abzuweisen, soweit darauf eingetreten werden kann. Dem Ausgang des Verfahrens entsprechend werden die Beschwerdeführer kosten- und entschädigungspflichtig (Art. 66 Abs. 1 und 5 sowie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