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4A_409/2012 vom 16. Oktober 2012</w:t>
      </w:r>
    </w:p>
    <w:p>
      <w:r>
        <w:t>Bundesgericht, 2012-10-16, FR</w:t>
      </w:r>
    </w:p>
    <w:p>
      <w:r>
        <w:rPr>
          <w:b/>
        </w:rPr>
        <w:t xml:space="preserve">Quelle: </w:t>
      </w:r>
      <w:r>
        <w:t>https://mcp.opencaselaw.ch/entscheid/bger_4A_409_2012</w:t>
      </w:r>
    </w:p>
    <w:p>
      <w:r>
        <w:t>FR: TF 4A_409/2012 du 16 octobre 2012</w:t>
      </w:r>
    </w:p>
    <w:p>
      <w:r>
        <w:t>IT: TF 4A_409/2012 del 16 ottobre 2012</w:t>
      </w:r>
    </w:p>
    <w:p>
      <w:pPr>
        <w:pStyle w:val="Heading2"/>
      </w:pPr>
      <w:r>
        <w:t>Erwägungen</w:t>
      </w:r>
    </w:p>
    <w:p>
      <w:r>
        <w:rPr>
          <w:b/>
        </w:rPr>
        <w:t>E. 1</w:t>
      </w:r>
    </w:p>
    <w:p>
      <w:r>
        <w:t>La recourante invoque entre autres une violation de l' art. 5 al. 3 Cst. en vertu duquel les organes de l'État et les particuliers doivent agir de manière conforme aux règles de la bonne foi.</w:t>
      </w:r>
    </w:p>
    <w:p>
      <w:r>
        <w:rPr>
          <w:b/>
        </w:rPr>
        <w:t>E. 1.1</w:t>
      </w:r>
    </w:p>
    <w:p>
      <w:r>
        <w:t>Il découle de ce principe constitutionnel que si l'autorité donne de fausses indications, elle peut être liée et devoir traiter le destinataire d'une façon dérogeant au droit. Cela vaut notamment en cas de fausse indication des voies de recours, pour autant toutefois que le destinataire ne reconnaisse pas l'erreur et ne puisse pas s'en apercevoir en faisant preuve de l'attention commandée par les circonstances. Seule la faute grave d'une partie ou de son représentant peut faire échec à la protection de sa bonne foi. Tel est le cas lorsque l'avocat de la partie pouvait d'emblée se rendre compte de l'inexactitude en consultant simplement la législation applicable; on ne saurait en revanche lui reprocher de ne pas avoir poussé ses recherches plus loin ( ATF 135 III 374 consid. 1.2.2; 134 I 199 consid. 1.3.1; cf. art. 49 LTF , art. 52 CPC ).</w:t>
      </w:r>
    </w:p>
    <w:p>
      <w:r>
        <w:rPr>
          <w:b/>
        </w:rPr>
        <w:t>E. 1.2</w:t>
      </w:r>
    </w:p>
    <w:p>
      <w:r>
        <w:t>En l'espèce, le jugement pénal a été rendu le 4 décembre 2008; la requête de reprise de la procédure sur les conclusions civiles a été déposée le 11 février 2009 et une audience s'est tenue le 21 avril 2009. Ces actes étant antérieurs à l'entrée en vigueur des codes de procédure fédéraux, la procédure de première instance restait en toute hypothèse régie par le droit de procédure cantonal jusqu'à la clôture de l'instance ( art. 448 al. 1 et 450 CPP , art. 404 al. 1 CPC ).</w:t>
      </w:r>
    </w:p>
    <w:p>
      <w:r>
        <w:t>Le code de procédure pénale neuchâtelois prévoyait que le débat sur les conclusions civiles, s'il était postérieur au jugement pénal, intervenait sur requête de la partie la plus diligente; la cause était instruite et jugée par le président du tribunal qui avait rendu le jugement pénal, selon les règles de la procédure orale ( art. 27 al. 4 CPP /NE). Le code neuchâtelois prévoyait en outre que si la cause devait encore être instruite ou plaidée, le juge y pourvoyait conformément aux dispositions du code de procédure civile; par ailleurs, le jugement sur les conclusions civiles ne pouvait être attaqué que par les voies de droit prévues par le code de procédure civile ( art. 227 al. 2 et 3 CPP /NE). Ainsi, le tribunal statuant sur les conclusions civiles n'avait pas la même composition que celui ayant jugé au pénal, et il procédait selon les règles de la procédure civile. Savoir si un tel jugement doit être qualifié de civil ou de pénal n'est pas nécessairement évident.</w:t>
      </w:r>
    </w:p>
    <w:p>
      <w:r>
        <w:t>Dans le cas d'espèce, le prononcé pénal a été rendu par le Tribunal correctionnel du district de Boudry siégeant avec un président et deux jurés, tandis que le prononcé civil émane du Tribunal régional du Littoral et du Val-de-Travers siégeant avec un juge unique (soit le président ayant siégé au pénal). Ce tribunal a fixé les frais et dépens en se référant aux dispositions du code de procédure civile cantonal; le jugement motivé ne précise pas en quelle qualité le Tribunal régional procédait.</w:t>
      </w:r>
    </w:p>
    <w:p>
      <w:r>
        <w:t>Dans ces circonstances, on ne saurait reprocher à l'avocat de la recourante d'avoir commis une faute grave. Recevant un jugement sur les seules conclusions civiles, rendu en application des règles de procédure civile par un tribunal autrement composé et dénommé que celui ayant précédemment statué au pénal, le mandataire ne devait pas nécessairement conclure que l'indication des voies de recours de la nouvelle procédure civile fédérale était erronée. Il est vrai que dans le nouveau droit fédéral, lorsque le président du tribunal pénal statue sur les conclusions civiles postérieurement au prononcé pénal du tribunal (cf. art. 126 al. 4 CPP ), son jugement ne peut être attaqué que par les voies de recours pénales. Toutefois, ce président procède selon les règles de la procédure pénale (NICOLAS JEANDIN/HENRY MATZ, in Commentaire romand, Code de procédure pénale suisse, 2011, nos 47 et 49 ad art. 126 CPP ), à la différence du juge neuchâtelois sous l'ancien droit cantonal, si bien que cela ne devait pas obligatoirement amener un avocat à douter de l'indication de la voie de recours civile. Comme la recourante le relève au demeurant, la Cour d'appel civile a notifié l'appel aux intimés et les a invités à déposer une réponse, ce qu'elle n'était pas censée faire si l'appel était manifestement irrecevable (cf. art. 312 al. 1 CPC ); il semble donc que les choses n'étaient pas d'emblée si claires pour elle non plus, ce qui plaide contre une faute grave de l'avocat.</w:t>
      </w:r>
    </w:p>
    <w:p>
      <w:r>
        <w:rPr>
          <w:b/>
        </w:rPr>
        <w:t>E. 1.3</w:t>
      </w:r>
    </w:p>
    <w:p>
      <w:r>
        <w:t>Il en découle que la recourante pouvait se fier à l'indication des voies de recours donnée dans le jugement du 7 juin 2011. L'arrêt d'irrecevabilité de la Cour d'appel civile est annulé, sans qu'il soit nécessaire d'examiner les autres griefs soulevés à son encontre. La seconde instance cantonale ne s'étant pas prononcée sur le fond, le Tribunal fédéral ne saurait le faire en l'état. La cause est dès lors retournée à la Cour d'appel civile pour suite de la procédure.</w:t>
      </w:r>
    </w:p>
    <w:p>
      <w:r>
        <w:rPr>
          <w:b/>
        </w:rPr>
        <w:t>E. 2</w:t>
      </w:r>
    </w:p>
    <w:p>
      <w:r>
        <w:t>Les frais et dépens sont mis à la charge des deux intimés qui ont conclu au rejet du recours et qui succombent ainsi dans la présente procédure ( art. 66 et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