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408/2022 vom 14. November 2022</w:t>
      </w:r>
    </w:p>
    <w:p>
      <w:r>
        <w:t>Bundesgericht, 2022-11-14, DE</w:t>
      </w:r>
    </w:p>
    <w:p>
      <w:r>
        <w:rPr>
          <w:b/>
        </w:rPr>
        <w:t xml:space="preserve">Quelle: </w:t>
      </w:r>
      <w:r>
        <w:t>https://mcp.opencaselaw.ch/entscheid/bger_4A_408_2022</w:t>
      </w:r>
    </w:p>
    <w:p>
      <w:r>
        <w:t>FR: TF 4A 408/2022 du 14 novembre 2022</w:t>
      </w:r>
    </w:p>
    <w:p>
      <w:r>
        <w:t>IT: TF 4A 408/2022 del 14 novembre 2022</w:t>
      </w:r>
    </w:p>
    <w:p>
      <w:pPr>
        <w:pStyle w:val="Heading2"/>
      </w:pPr>
      <w:r>
        <w:t>Regeste</w:t>
      </w:r>
    </w:p>
    <w:p>
      <w:r>
        <w:t>Forderung, unentgeltliche Rechtspflege, Zustellungsdomizil, | Obligationenrecht (allgemein)</w:t>
      </w:r>
    </w:p>
    <w:p>
      <w:pPr>
        <w:pStyle w:val="Heading2"/>
      </w:pPr>
      <w:r>
        <w:t>Erwägungen</w:t>
      </w:r>
    </w:p>
    <w:p>
      <w:r>
        <w:rPr>
          <w:b/>
        </w:rPr>
        <w:t>E. 1.1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2.1</w:t>
      </w:r>
    </w:p>
    <w:p>
      <w:r>
        <w:t>Der Beschwerdeführer beantragt eine angemessene Frist zur Ergänzung seiner Beschwerdebegründung. Darauf ist nicht einzutreten. Die Beschwerdefrist nach Art. 100 Abs. 1 BGG ist eine gesetzliche Frist. Eine gesetzliche Frist kann nicht erstreckt werden ( Art. 47 Abs. 1 BGG ). Die Voraussetzungen für eine ergänzende Beschwerdeschrift ( Art. 43 BGG ) werden offensichtlich nicht dargetan (Erwägung 1.1), noch sind sie ersichtlich.</w:t>
      </w:r>
    </w:p>
    <w:p>
      <w:r>
        <w:rPr>
          <w:b/>
        </w:rPr>
        <w:t>E. 2.2</w:t>
      </w:r>
    </w:p>
    <w:p>
      <w:r>
        <w:t>Der Beschwerdeführer beruft sich auf Art. 50 BGG , ohne die Voraussetzungen für die Wiederherstellung nachvollziehbar darzulegen (Erwägung 1.1). Auch darauf ist nicht einzutreten.</w:t>
      </w:r>
    </w:p>
    <w:p>
      <w:r>
        <w:rPr>
          <w:b/>
        </w:rPr>
        <w:t>E. 2.3</w:t>
      </w:r>
    </w:p>
    <w:p>
      <w:r>
        <w:t>Die Vorinstanz stellte fest, dass die Verfügung vom 15. Oktober 2021 dem Beschwerdeführer am 15. Januar 2022 rechtshilfeweise zugestellt wurde und der Beschwerdeführer in seiner Eingabe vom Februar 2022 auch auf diese Verfügung im Einzelnen Bezug nahm, weshalb davon auszugehen sei, dass er deren Inhalt zur Kenntnis genommen habe. Die Vorinstanz stellte weiter fest, dass der Beschwerdeführer in der Folge weder einen Rechtsvertreter noch ein Zustellungsdomizil in der Schweiz bezeichnet habe, weshalb die Anordnung zur Leistung eines Kostenvorschlusses vom 10. März 2022 und die Nachfristansetzung vom 13. April 2022 im kantonalen Amtsblatt publiziert worden seien. Gegen diese Sachverhaltsfeststellungen bringt der Beschwerdeführer vor, die Vorinstanz habe den Sachverhalt unvollständig festgestellt. Er behauptet dazu ohne nähere Ausführungen, dass die Anordnungen vom 10. März und 13. April 2022 nicht rechtmässig zugestellt worden seien, weil die Vorinstanz diese nicht an das vom Beschwerdeführer angegebene Zustellungsdomizil zugestellt habe. Der Beschwerdeführer genügt damit den Begründungsanforderungen an eine Sachverhaltsrüge offensichtlich nicht (Erwägung 1.2). Er zeigt nicht mit präzisen Aktenhinweisen auf, dass er entgegen den Feststellungen der Vorinstanz im vorinstanzlichen Verfahren ein Zustellungsdomizil in der Schweiz bezeichnet hätte.</w:t>
      </w:r>
    </w:p>
    <w:p>
      <w:r>
        <w:rPr>
          <w:b/>
        </w:rPr>
        <w:t>E. 2.4</w:t>
      </w:r>
    </w:p>
    <w:p>
      <w:r>
        <w:t>Der Beschwerdeführer rügt eine Verletzung von Art. 29 Abs. 2 BV . Auch diesbezüglich genügt er aber den Begründungsanforderungen offensichtlich nicht, denn er zeigt nicht nachvollziehbar auf, inwiefern die Vorinstanz die genannte Bestimmung verletzt haben soll (Erwägung 1.1).</w:t>
      </w:r>
    </w:p>
    <w:p>
      <w:r>
        <w:rPr>
          <w:b/>
        </w:rPr>
        <w:t>E. 2.5</w:t>
      </w:r>
    </w:p>
    <w:p>
      <w:r>
        <w:t>Der Beschwerdeführer beantragt, dass die vorinstanzlichen Verfahrenskosten auf die Staatskasse zu nehmen seien und ihm für das kantonale Verfahren eine angemessene Parteientschädigung zuzusprechen sei. Er begründet diesen Antrag nicht, zumindest offensichtlich nicht hinreichend (Erwägung 1.1), sodass auch darauf nicht einzutreten ist.</w:t>
      </w:r>
    </w:p>
    <w:p>
      <w:r>
        <w:rPr>
          <w:b/>
        </w:rPr>
        <w:t>E. 3</w:t>
      </w:r>
    </w:p>
    <w:p>
      <w:r>
        <w:t>Auf die Beschwerde ist nach dem Ausgeführten mangels rechtsgenüglicher Begründung nicht einzutreten.</w:t>
      </w:r>
    </w:p>
    <w:p>
      <w:r>
        <w:rPr>
          <w:b/>
        </w:rPr>
        <w:t>E. 4</w:t>
      </w:r>
    </w:p>
    <w:p>
      <w:r>
        <w:t>Der Beschwerdeführer ersucht auch für das bundesgerichtliche Verfahren um unentgeltliche Rechtspflege und Verbeiständung. Das Gesuch ist abzuweisen, weil die Beschwerde als von vornherein aussichtslos erscheint ( Art. 64 Abs. 1 BGG ). Darüber musste unter den gegebenen Umständen nicht vorgängig separat entschieden werden (vgl. Urteil 4A_20/2011 vom 11. April 2011 E. 7.2.2). Damit erübrigt sich auch der Antrag des Beschwerdeführers, dass für das bundesgerichtliche Verfahren ein unentgeltlicher Rechtsbeistand zu benennen sei.</w:t>
      </w:r>
    </w:p>
    <w:p>
      <w:r>
        <w:rPr>
          <w:b/>
        </w:rPr>
        <w:t>E. 5</w:t>
      </w:r>
    </w:p>
    <w:p>
      <w:r>
        <w:t>Bei diesem Ausgang des Verfahrens wären die Gerichtskosten dem Beschwerdeführer aufzuerlegen ( Art. 66 Abs. 1 BGG ). Unter den gegebenen Umständen ist jedoch für das bundesgerichtliche Verfahren ausnahmsweise auf die Erhebung von Gerichtskosten zu verzichten (Art. 66 Abs. 1 zweiter Satz BGG). Die Beschwerdegegnerin hat keinen Anspruch auf eine Parteientschädigung, da ihr aus dem bundesgerichtlichen Verfahren kein entschädigungspflichtiger Aufwand erwachsen ist ( Art. 68 Abs. 2 BGG ).</w:t>
      </w:r>
    </w:p>
    <w:p>
      <w:r>
        <w:rPr>
          <w:b/>
        </w:rPr>
        <w:t>E. 6</w:t>
      </w:r>
    </w:p>
    <w:p>
      <w:r>
        <w:t>Der Beschwerdeführer wohnt in Griechenland. Gerichtliche Zustellungen ins Ausland - wie die Zustellung dieses Entscheids - erfolgen grundsätzlich auf dem Rechtshilfeweg.</w:t>
      </w:r>
    </w:p>
    <w:p>
      <w:r>
        <w:rPr>
          <w:b/>
        </w:rPr>
        <w:t>E. 6.1</w:t>
      </w:r>
    </w:p>
    <w:p>
      <w:r>
        <w:t>Diese Zustellung kann lange dauern und kompliziert sein, vor allem wenn kein internationales Übereinkommen zur Anwendung gelangt (Botschaft zur Schweizerischen Zivilprozessordnung [ZPO] vom 28. Juni 2006, BBl 2006 S. 7221 ff. S. 7308). Um die gerichtlichen Verfahren nicht mehr als nötig durch Zustellungen ins Ausland zu verzögern, sieht Art. 140 ZPO für das kantonale Verfahren eine Erleichterung vor: Das Gericht kann Parteien mit Wohnsitz oder Sitz im Ausland anweisen, ein Zustellungsdomizil in der Schweiz zu bezeichnen. Ein solches Zustellungsdomizil ermöglicht, Verfahren im Sinne des Beschleunigungsgebots zügig durchzuführen ( Art. 124 Abs. 1 ZPO ), auch wenn am Prozess eine Partei mit Wohnsitz im Ausland beteiligt ist (François Bohnet, in: François Bohnet et al. [Hrsg.], Commentaire Romand, Code de procédure civile, 2. Aufl. 2019, N. 1 zu Art. 140 ZPO ; Roger Weber, in: Paul Oberhammer / Tanja Domej / Ulrich Haas [Hrsg.], Kurzkommentar Schweizerische Zivilprozessordnung, 3. Aufl. 2021, N. 1 zu Art. 140 ZPO ). Art. 140 ZPO ist eine Kann-Vorschrift (das Gericht "kann"; "peut"; "può"). Diese Bestimmung räumt dem Gericht einen Ermessensspielraum beim Entscheid darüber ein, ob es im konkreten Verfahren von der Möglichkeit Gebrauch macht, von der im Ausland wohnenden Partei die Bezeichnung eines Zustellungsdomizils in der Schweiz zu verlangen (Julia Gschwend, in: Karl Spühler / Luca Tenchio / Dominik Infanger [Hrsg.], Basler Kommentar Schweizerische Zivilprozessordnung, 3. Aufl. 2017, N. 2 zu Art. 140 ZPO ). Aufgrund dieser Wahlmöglichkeit hat das Gericht die Partei zur Bezeichnung eines Zustellungsdomizils anzuweisen, wenn es dies von ihr verlangen will (vgl. Art. 141 Abs. 1 lit. c ZPO ). Die Zustellung einer solchen Anweisung erfolgt dabei grundsätzlich auf dem Rechtshilfeweg ( BGE 143 III 28 E. 2.2.1; Urteile 5A_803/2019 vom 3. April 2020 E. 3.3; 4A_141/2015 vom 25. Juni 2015 E. 5.1).</w:t>
      </w:r>
    </w:p>
    <w:p>
      <w:r>
        <w:rPr>
          <w:b/>
        </w:rPr>
        <w:t>E. 6.2</w:t>
      </w:r>
    </w:p>
    <w:p>
      <w:r>
        <w:t>Eine weitergehende Erleichterung von der rechtshilfeweisen Zustellung ins Ausland ist für das Verfahren vor dem Bundesgericht vorgesehen. Art. 39 Abs. 3 BGG bestimmt: Parteien, die im Ausland wohnen, haben in der Schweiz ein Zustellungsdomizil zu bezeichnen. Mitteilungen an Parteien, die dieser Auflage nicht Folge leisten, können unterbleiben oder in einem amtlichen Blatt eröffnet werden.</w:t>
      </w:r>
    </w:p>
    <w:p>
      <w:r>
        <w:rPr>
          <w:b/>
        </w:rPr>
        <w:t>E. 6.2.1</w:t>
      </w:r>
    </w:p>
    <w:p>
      <w:r>
        <w:t>Anders als bei Art. 140 ZPO handelt es sich bei der für das bundesgerichtliche Verfahren anwendbaren Bestimmung von Art. 39 Abs. 3 BGG nicht um eine Kann-Vorschrift. Parteien, die im Ausland wohnen, müssen für das bundesgerichtliche Verfahren ein Zustellungsdomizil in der Schweiz bezeichnen (Florence Aubry Girardin, Commentaire de la LTF, 3. Aufl. 2022, N. 17 zu Art. 39 BGG ; Laurent Merz, in: Marcel Alexander Niggli et al. [Hrsg.], Basler Kommentar Bundesgerichtsgesetz, 3. Aufl. 2018, N. 26 zu Art. 39 BGG ). Das Gesetz verpflichtet mithin im Ausland wohnende Parteien, ein Zustellungsdomizil in der Schweiz zu bezeichnen (so schon unter dem OG: Botschaft vom 9. Februar 1943 zum Entwurfe eines neuen Bundesgesetzes über die Organisation der Bundesrechtspflege, BBl 1943 I 97 ff., S. 112; Jean-Francois Poudret, Commentaire de la loi fédérale d'organisation judiciaire, 1990, N. 6.1 zu Art. 29 aOG).</w:t>
      </w:r>
    </w:p>
    <w:p>
      <w:r>
        <w:rPr>
          <w:b/>
        </w:rPr>
        <w:t>E. 6.2.2</w:t>
      </w:r>
    </w:p>
    <w:p>
      <w:r>
        <w:t>In allen Sprachen ("doivent élire"; "Auflage"; "incombenza") geht aus dem Wortlaut von Art. 39 Abs. 3 BGG klar hervor, dass es sich bei der Bezeichnung eines Zustellungsdomizils um eine gesetzliche Obliegenheit handelt (Urteile 4A_26/2022 vom 13. April 2022; 4A_444/2020 vom 1. Dezember 2020; so zum OG: Poudret, a.a.O., N. 6.4 zu Art. 29 aOG "une obligation légale"). Von einer Partei, die eine Beschwerde in Zivilsachen an das Bundesgericht erhebt, kann erwartet werden, dass sie das Gesetz konsultiert, welches das Verfahren vor dem höchsten Gericht der Schweiz regelt (Urteil 4A_26/2022 vom 13. April 2022; 4A_444/2020 vom 1. Dezember 2020). Das gilt auch für Laien, die ohne anwaltliche Unterstützung eine Beschwerde am Bundesgericht einreichen, zumal sich durch einen Blick ins Gesetz die Verpflichtung zur Bezeichnung eines Zustellungsdomizils in der Schweiz ohne Weiteres eindeutig und klar ergibt. Art. 39 Abs. 3 BGG sieht im Gegensatz zur Zivilprozessordnung nicht vor, dass das Bundesgericht die Partei zur Bestellung eines Zustellungsdomizils zusätzlich auffordern müsste, bevor es nach Art. 39 Abs. 3 Satz 2 BGG vorgeht. Der gesetzlichen Pflicht zur Bezeichnung eines Zustellungsdomizils in der Schweiz haben die Parteien von sich aus nachzukommen (Andreas Güngerich, Bundesgerichtsgesetz [BGG], 2. Aufl. 2015, N. 5 zu Art. 39 BGG ). Eine vorgängige Aufforderung ist nicht notwendig. Das gilt umso mehr in Konstellationen, in welchen - wie vorliegend - die beschwerdeführende Partei bereits im kantonalen Verfahren durch das kantonale Gericht zur Bezeichnung eines Zustellungsdomizils in der Schweiz aufgefordert wurde und sie damit bereits aufgrund des vorangehenden Verfahrens von dieser Pflicht weiss.</w:t>
      </w:r>
    </w:p>
    <w:p>
      <w:r>
        <w:rPr>
          <w:b/>
        </w:rPr>
        <w:t>E. 6.3</w:t>
      </w:r>
    </w:p>
    <w:p>
      <w:r>
        <w:t>Im vorliegenden Fall kam der Beschwerdeführer der gesetzlichen Obliegenheit zur Bezeichnung eines Zustellungsdomizils in der Schweiz für das bundesgerichtliche Verfahren nicht nach, obschon sich dies klar aus Art. 39 Abs. 3 BGG ergibt und er im kantonalen Verfahren bereits durch die Vorinstanz in einem rechtshilfeweise zugestellten Schreiben, übersetzt ins Griechische, zur Bezeichnung eines Zustellungsdomizils in der Schweiz aufgefordert worden war. Gestützt auf Art. 39 Abs. 3 Satz 2 BGG können damit Mitteilungen an den Beschwerdeführer unterbleiben.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