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408/2021 vom 22. Oktober 2021</w:t>
      </w:r>
    </w:p>
    <w:p>
      <w:r>
        <w:t>Bundesgericht, 2021-10-22, FR</w:t>
      </w:r>
    </w:p>
    <w:p>
      <w:r>
        <w:rPr>
          <w:b/>
        </w:rPr>
        <w:t xml:space="preserve">Quelle: </w:t>
      </w:r>
      <w:r>
        <w:t>https://mcp.opencaselaw.ch/entscheid/bger_4A_408_2021</w:t>
      </w:r>
    </w:p>
    <w:p>
      <w:r>
        <w:t>FR: TF 4A 408/2021 du 22 octobre 2021</w:t>
      </w:r>
    </w:p>
    <w:p>
      <w:r>
        <w:t>IT: TF 4A 408/2021 del 22 ottobre 2021</w:t>
      </w:r>
    </w:p>
    <w:p>
      <w:pPr>
        <w:pStyle w:val="Heading2"/>
      </w:pPr>
      <w:r>
        <w:t>Regeste</w:t>
      </w:r>
    </w:p>
    <w:p>
      <w:r>
        <w:t>rémunération de l'architecte, | Droit des contrats</w:t>
      </w:r>
    </w:p>
    <w:p>
      <w:pPr>
        <w:pStyle w:val="Heading2"/>
      </w:pPr>
      <w:r>
        <w:t>Erwägungen</w:t>
      </w:r>
    </w:p>
    <w:p>
      <w:r>
        <w:rPr>
          <w:b/>
        </w:rPr>
        <w:t>E. 1</w:t>
      </w:r>
    </w:p>
    <w:p>
      <w:r>
        <w:t>Le Tribunal fédéral examine d'office sa compétence ( art. 29 al. 1 LTF ) et contrôle librement les conditions de recevabilité des recours qui lui sont soumis ( ATF 141 III 395 consid. 2.1; 139 III 133 consid. 1; 138 I 435 consid. 1).</w:t>
      </w:r>
    </w:p>
    <w:p>
      <w:r>
        <w:rPr>
          <w:b/>
        </w:rPr>
        <w:t>E. 1.1</w:t>
      </w:r>
    </w:p>
    <w:p>
      <w:r>
        <w:t>Interjeté dans le délai fixé par la loi ( art. 100 al. 1 et art. 46 al. 1 let. b LTF ) par la demanderesse,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1.2</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 En l'espèce, la recourante conclut, de manière contradictoire, tant au renvoi de la cause à l'autorité précédente qu'à la réforme de l'arrêt entrepris. On comprend toutefois de son recours qu'elle demande la condamnation de l'intimée au paiement de sa note d'honoraires, de sorte que le recours n'est pas irrecevable pour ce motif.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En l'espèce, la recourante a cru bon, dans un premier temps, de " souligne[r] [...] les éléments de fait pertinents qui fondent son droit à être rémunérée de son travail [sic] ", offres de preuves à l'appui. Dans la mesure où elle ne sollicite pas le complètement de l'état de fait constaté par la cour cantonale ni n'en respecte les conditions, il ne sera pas tenu compte de cet exposé.</w:t>
      </w:r>
    </w:p>
    <w:p>
      <w:r>
        <w:rPr>
          <w:b/>
        </w:rPr>
        <w:t>E. 3</w:t>
      </w:r>
    </w:p>
    <w:p>
      <w:r>
        <w:t>La recourante reproche à la cour cantonale d'avoir commis l'arbitraire dans l'appréciation de faits et de preuves, soit le courrier du 8 octobre 2009 (cf. supra consid. A.c), le procès-verbal de la séance du 15 décembre 2009 (cf. supra consid. A.d), les témoignages de H.________, de I.________ et de F.________, et le témoignage de G.________.</w:t>
      </w:r>
    </w:p>
    <w:p>
      <w:r>
        <w:rPr>
          <w:b/>
        </w:rPr>
        <w:t>E. 3.1</w:t>
      </w:r>
    </w:p>
    <w:p>
      <w:r>
        <w:t>En procédure, le juge doit rechercher, dans un premier temps, la réelle et commune intention des parties (interprétation subjective), le cas échéant empiriquement, sur la base d'indices ( ATF 144 III 93 consid. 5.2.2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 ATF 144 III 93 consid. 5.2.2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rPr>
          <w:b/>
        </w:rPr>
        <w:t>E. 3.2</w:t>
      </w:r>
    </w:p>
    <w:p>
      <w:r>
        <w:t>En l'espèce, la cour cantonale a considéré, au vu notamment des témoignages, du courrier du 8 octobre 2009, du procès-verbal du 15 décembre 2009 et du rapport de gestion de l'administrateur, que, d'une part, les parties sont convenues que la société d'architecture fournissait ses prestations à " compte d'auteur ", soit gratuitement, jusqu'à un certain stade d'avancement du projet et que, d'autre part, dans l'esprit de tous les protagonistes, la seule obtention d'une autorisation de construire n'était pas suffisante pour permettre à la société d'architecture de prétendre à une rémunération: il fallait que le projet ait atteint un résultat concret, soit le franchissement, après l'obtention des autorisations de construire, d'une étape supplémentaire conduisant à la réalisation de la surélévation des immeubles, pour que le contrat devienne onéreux. Elle a retenu que ledit courrier, invoqué par la société d'architecture, ne pouvait être qualifié que d'indice parmi d'autres pour établir la teneur de l'accord des parties, en raison notamment du fait qu'il émanait de l'architecte personnellement et non de la société d'architecture, qu'il était adressé à la seule propriétaire et que, vu sa date, il s'intégrait dans des échanges précontractuels entre deux personnes qui ne seront pas les parties formellement liées par l'accord litigieux. Selon la cour cantonale, la teneur de l'accord des parties est également conforme au comportement de la société d'architecture dans l'exécution des contrats qui la liaient aux propriétaires des bâtiments. En effet, elle n'a initialement adressé aucune facture pour ses services et elle a uniquement envoyé une facture à la propriétaire, alors qu'un litige avait éclaté entre l'architecte et D.________, et à I.________ suite à son témoignage défavorable. La volonté réelle des parties était ainsi établie, en ce sens que le projet devait avoir franchi l'étape de l'autorisation de construire et d'un certain degré de réalisation pour que le contrat d'architecte devienne onéreux.</w:t>
      </w:r>
    </w:p>
    <w:p>
      <w:r>
        <w:rPr>
          <w:b/>
        </w:rPr>
        <w:t>E. 3.3</w:t>
      </w:r>
    </w:p>
    <w:p>
      <w:r>
        <w:t>La recourante, qui estime avoir droit à une rémunération dès l'obtention des autorisations de construire, soutient que l'arbitraire résulte, en l'occurrence, " d'une mauvaise appréciation des faits par la Cour de justice " et que celle-ci a " abusé de son pouvoir d'appréciation et est tombée dans l'arbitraire en se fondant sur des considérations dont la pertinence n'est manifestement pas donnée et en retenant ou en excluant partialement des faits ou des moyens de preuve, et ce, en faveur de l'Intimée uniquement ". Elle ne satisfait toutefois pas aux exigences strictes applicables en matière de critique de l'état de fait constaté par la cour cantonale (cf. supra consid. 2.1). En effet, en tant qu'elle considère (1) que la cour cantonale a tronqué la citation du procès-verbal de la séance du 15 décembre 2009 (ce qui est inexact car elle se réfère aux propos d'un autre protagoniste) et qu'elle aurait dû (2) tenir compte davantage du courrier du 8 octobre 2009 au vu du peu d'éléments de preuve dont la cour cantonale disposait pour déterminer la réelle et commune volonté des parties, (3) minimiser la portée des témoignages de H.________, de I.________ et de F.________ en raison notamment du laps de temps important s'étant écoulé entre les faits litigieux et leurs témoignages et (4) accorder plus d'importance au témoignage de G._______, la recourante ne fait que substituer son appréciation à celle de la cour cantonale. Son grief, de nature essentiellement appellatoire, est dès lors irrecevable.</w:t>
      </w:r>
    </w:p>
    <w:p>
      <w:r>
        <w:rPr>
          <w:b/>
        </w:rPr>
        <w:t>E. 4</w:t>
      </w:r>
    </w:p>
    <w:p>
      <w:r>
        <w:t>Dans deux derniers moyens, la recourante invoque que l'autorité précédente aurait eu un raisonnement incohérent et contradictoire " avec la pratique du droit de l'architecte au moment de la conclusion du contrat " et " avec la situation politique et administrative en vigueur à l'époque de la conclusion du contrat, quant à la question de la surélévation d'un immeuble ". Elle se base tant sur une alléguée pratique du droit de l'architecte, selon laquelle, notamment, la terminologie utilisée par les témoins n'est pas concluante et l'autorisation de construire constitue un élément cardinal du processus de construction, que sur une prétendue incertitude politique et administrative au plan cantonal s'agissant de la surélévation d'immeubles au moment des faits litigieux. Dans la mesure où sa critique se fonde sur des éléments qui n'ont pas été constatés par la cour cantonale et où la recourante ne se conforme pas aux exigences requises, de jurisprudence constante, en matière de complètement de l'état de fait (cf. supra consid. 2.1), les griefs sont irrecevables.</w:t>
      </w:r>
    </w:p>
    <w:p>
      <w:r>
        <w:rPr>
          <w:b/>
        </w:rPr>
        <w:t>E. 5</w:t>
      </w:r>
    </w:p>
    <w:p>
      <w:r>
        <w:t>Au vu de ce qui précède, le recours doit être déclaré irrecevable. Les frais judiciaires seront mis à la charge de la recourante,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