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4A_408/2019 vom 20. September 2019</w:t>
      </w:r>
    </w:p>
    <w:p>
      <w:r>
        <w:t>Bundesgericht, 2019-09-20, DE</w:t>
      </w:r>
    </w:p>
    <w:p>
      <w:r>
        <w:rPr>
          <w:b/>
        </w:rPr>
        <w:t xml:space="preserve">Quelle: </w:t>
      </w:r>
      <w:r>
        <w:t>https://mcp.opencaselaw.ch/entscheid/bger_4A_408_2019</w:t>
      </w:r>
    </w:p>
    <w:p>
      <w:r>
        <w:t>FR: TF 4A_408/2019 du 20 septembre 2019</w:t>
      </w:r>
    </w:p>
    <w:p>
      <w:r>
        <w:t>IT: TF 4A_408/2019 del 20 settembre 2019</w:t>
      </w:r>
    </w:p>
    <w:p>
      <w:pPr>
        <w:pStyle w:val="Heading2"/>
      </w:pPr>
      <w:r>
        <w:t>Erwägungen</w:t>
      </w:r>
    </w:p>
    <w:p>
      <w:r>
        <w:rPr>
          <w:b/>
        </w:rPr>
        <w:t>E. 1</w:t>
      </w:r>
    </w:p>
    <w:p>
      <w:r>
        <w:t>Am 24. Januar 2019 reichte A.________ (Beschwerdeführer) beim Bezirksgericht Brig, Östlich-Raron und Goms eine Teilungsklage ein. Mit Entscheid vom 4. März 2019 trat das Bezirksgericht auf die Klage mit der Begründung nicht ein, die Klageschrift genüge den Anforderungen von Art. 221 ZPO nicht.</w:t>
      </w:r>
    </w:p>
    <w:p>
      <w:r>
        <w:t>A.________ focht dieses Urteil mit Berufung beim Kantonsgericht Wallis an und machte eine Schadenersatzforderung gegen B.________ geltend. Das Kantonsgericht trat auf die Berufung mit Urteil vom 2. August 2019 nicht ein.</w:t>
      </w:r>
    </w:p>
    <w:p>
      <w:r>
        <w:t>Dagegen hat A.________ mit als "Einsprache" bezeichneter Eingabe vom 2. September 2019 Beschwerde beim Bundesgericht erhoben. 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t>Beruht der angefochtene Entscheid auf mehreren selbständigen Begründungen, die je für sich den Ausgang des Rechtsstreits bestimmen, so hat die beschwerdeführende Partei darzulegen, dass jede von ihnen Recht verletzt. Andernfalls kann auf die Beschwerde nicht eingetreten werden ( BGE 142 III 364 E. 2.4 S. 368 mit Hinweisen).</w:t>
      </w:r>
    </w:p>
    <w:p>
      <w:r>
        <w:rPr>
          <w:b/>
        </w:rPr>
        <w:t>E. 3</w:t>
      </w:r>
    </w:p>
    <w:p>
      <w:r>
        <w:t>Das Kantonsgericht erwog, die vom Beschwerdeführer erhobene Schadenersatzforderung werde erstmals mit der Berufung geltend gemacht, ohne dass die Voraussetzungen einer Klageänderung nach Art. 317 Abs. 2 ZPO erfüllt wären. Ohnehin fehle es an einer gültigen Klagebewilligung. Der Beschwerdeführer geht weder auf die eine noch auf die andere Erwägung ein, sondern unterbreitet dem Bundesgericht frei seine eigene - schwer nachvollziehbare - Sicht des Streits. Die Beschwerde enthält somit offensichtlich keine hinreichende Begründung, weshalb im vereinfachten Verfahren gemäss Art. 108 Abs. 1 lit. b BGG nicht auf sie einzutreten ist.</w:t>
      </w:r>
    </w:p>
    <w:p>
      <w:r>
        <w:rPr>
          <w:b/>
        </w:rPr>
        <w:t>E. 4</w:t>
      </w:r>
    </w:p>
    <w:p>
      <w:r>
        <w:t>Ausnahmsweise werden keine Gerichtskosten erhoben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