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4A_407/2017 vom 20. November 2017</w:t>
      </w:r>
    </w:p>
    <w:p>
      <w:r>
        <w:t>Bundesgericht, 2017-11-20, FR</w:t>
      </w:r>
    </w:p>
    <w:p>
      <w:r>
        <w:rPr>
          <w:b/>
        </w:rPr>
        <w:t xml:space="preserve">Quelle: </w:t>
      </w:r>
      <w:r>
        <w:t>https://mcp.opencaselaw.ch/entscheid/bger_4A_407_2017</w:t>
      </w:r>
    </w:p>
    <w:p>
      <w:r>
        <w:t>FR: TF 4A_407/2017 du 20 novembre 2017</w:t>
      </w:r>
    </w:p>
    <w:p>
      <w:r>
        <w:t>IT: TF 4A_407/2017 del 20 novembre 2017</w:t>
      </w:r>
    </w:p>
    <w:p>
      <w:pPr>
        <w:pStyle w:val="Heading2"/>
      </w:pPr>
      <w:r>
        <w:t>Erwägungen</w:t>
      </w:r>
    </w:p>
    <w:p>
      <w:r>
        <w:rPr>
          <w:b/>
        </w:rPr>
        <w:t>E. 1.1</w:t>
      </w:r>
    </w:p>
    <w:p>
      <w:r>
        <w:t>Dans le domaine de l'arbitrage interne, le recours en matière civile est recevable contre les décisions de tribunaux arbitraux aux conditions prévues aux art. 389 à 395 CPC ( art. 77 al. 1 let. b LTF ).</w:t>
      </w:r>
    </w:p>
    <w:p>
      <w:r>
        <w:t>Lorsque, par une sentence séparée, un tribunal arbitral admet sa compétence, il rend une sentence incidente ( art. 359 al. 1 et 383 CPC ). Tel est le cas en l'espèce. En vertu de l' art. 392 let. b CPC , une telle sentence ne peut être attaquée devant le Tribunal fédéral que pour les motifs tirés de la désignation irrégulière de l'arbitre unique ou de la composition irrégulière du tribunal arbitral ( art. 393 let. a CPC ), d'une part, et de l'incompétence du tribunal arbitral ( art. 393 let. b CPC ), d'autre part. En l'occurrence, le recourant invoque ce dernier motif.</w:t>
      </w:r>
    </w:p>
    <w:p>
      <w:r>
        <w:t>Encore convient-il de préciser que, selon une jurisprudence récente du Tribunal fédéral touchant les décisions incidentes rendues dans le cadre d'un arbitrage international au sujet de la constitution ou de la compétence du tribunal arbitral, les griefs fondés sur l' art. 190 al. 2 let . c-e LDIP peuvent être invoqués également à l'encontre de telles décisions, nonobstant le texte de l' art. 190 al. 3 LDIP , pour autant qu'ils se limitent strictement aux points concernant directement la composition ou la compétence du tribunal arbitral ( ATF 140 III 477 consid. 3.1, 520 consid. 2.2.3). Cette jurisprudence a été étendue, il y a peu, aux décisions de même nature rendues en matière d'arbitrage interne, décisions incidentes contre lesquelles il sera donc désormais possible d'invoquer, sous la même réserve et en dépit du texte de l' art. 392 let. b CPC , les moyens tirés de l' art. 393 let . c-e CPC (arrêt 4A_82/2016 du 6 juin 2016 consid. 2.2, 2e §). En revanche, il ne devrait pas être possible de recourir directement au Tribunal fédéral contre une sentence incidente relative à la composition ou à la compétence du tribunal arbitral au motif que les dépenses et les honoraires des arbitres fixés par le tribunal arbitral - si tant est qu'une décision à leur sujet n'ait pas été renvoyée au moment du prononcé de la sentence finale, comme c'est généralement le cas - sont manifestement excessifs, dès lors que l'on ne voit pas en quoi la fixation des dépenses et des honoraires des arbitres serait susceptible d'influer sur la décision concernant la constitution ou la compétence du tribunal arbitral.</w:t>
      </w:r>
    </w:p>
    <w:p>
      <w:r>
        <w:rPr>
          <w:b/>
        </w:rPr>
        <w:t>E. 1.2</w:t>
      </w:r>
    </w:p>
    <w:p>
      <w:r>
        <w:t>Le recourant est particulièrement touché par la sentence attaquée, laquelle l'oblige à se soumettre à la juridiction d'un arbitre unique dont il conteste la compétence. Aussi a-t-il un intérêt digne de protection à l'annulation de cette sentence, ce qui lui confère la qualité pour recourir ( art. 76 al. 1 LTF ).</w:t>
      </w:r>
    </w:p>
    <w:p>
      <w:r>
        <w:rPr>
          <w:b/>
        </w:rPr>
        <w:t>E. 1.3</w:t>
      </w:r>
    </w:p>
    <w:p>
      <w:r>
        <w:t>Par ailleurs, le recours a été déposé en temps utile ( art. 100 al. 1 LTF ), compte tenu de la suspension du délai de recours durant les féries d'été ( art. 46 al. 1 let. b LTF ), et dans les formes requises ( art. 42 al. 1 LTF ). Il satisfait du reste aux exigences de motivation.</w:t>
      </w:r>
    </w:p>
    <w:p>
      <w:r>
        <w:rPr>
          <w:b/>
        </w:rPr>
        <w:t>E. 1.4</w:t>
      </w:r>
    </w:p>
    <w:p>
      <w:r>
        <w:t>Voie de droit extraordinaire, le recours en matière civile est purement cassatoire (cf. l' art. 77 al. 2 LTF qui exclut l'application de l' art. 107 al. 2 LTF dans la mesure où cette disposition permet au Tribunal fédéral de statuer sur le fond de l'affaire). Toutefois, lorsque le litige porte sur la compétence d'un tribunal arbitral, il a été admis, par exception, que le Tribunal fédéral pouvait constater lui-même la compétence ou l'incompétence de celui-ci ( ATF 136 III 605 consid. 3.3.4 p. 616; 128 III 50 consid. 1b; arrêt 4A_473/2016 du 16 février 2017 consid. 1.1).</w:t>
      </w:r>
    </w:p>
    <w:p>
      <w:r>
        <w:rPr>
          <w:b/>
        </w:rPr>
        <w:t>E. 1.5</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4A_473/2016, précité, consid. 2.4; arrêt 4A_515/2012 du 17 avril 2013 consid. 2.4).</w:t>
      </w:r>
    </w:p>
    <w:p>
      <w:r>
        <w:t>Contrairement à ce qui est le cas en matière d'arbitrage international (cf. les griefs énumérés limitativement à l' art. 190 al. 2 LDIP ), dans l'arbitrage interne, la partie recourante peut s'en prendre directement à l'établissement des faits par le tribunal arbitral ou l'arbitre unique. L' art. 393 let . e CPC sanctionne, en effet, la sentence qui est "arbitraire dans son résultat parce qu'elle repose sur des constatations manifestement contraires aux faits résultant du dossier", entre autres motifs. Toutefois, la jurisprudence a sensiblement atténué la portée de ce grief. Il s'ensuit qu'une constatation de fait n'est arbitraire au sens de la disposition citée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 recours; le grief d'arbitraire est limité aux constatations de fait qui ne dépendent pas d'une appréciation, c'est-à-dire à celles qui sont inconciliables avec des pièces du dossier ( ATF 131 I 45 consid. 3.6 et 3.7; arrêt 4A_322/2016 du 28 juin 2016 consid. 4.1).</w:t>
      </w:r>
    </w:p>
    <w:p>
      <w:r>
        <w:rPr>
          <w:b/>
        </w:rPr>
        <w:t>E. 2</w:t>
      </w:r>
    </w:p>
    <w:p>
      <w:r>
        <w:t>Le recourant soutient que l'arbitre unique s'est déclaré à tort compétent pour trois raisons: premièrement, parce qu'il ne s'est pas avisé de la nullité de la décision du juge d'appui dont il tenait ses pouvoirs; deuxièmement, parce qu'il n'est pas membre du Conseil de l'Ordre; troisièmement, parce que les parties n'ont pas procédé à la médiation qui devait constituer, selon la clause arbitrale les liant, un préalable à tout arbitrage.</w:t>
      </w:r>
    </w:p>
    <w:p>
      <w:r>
        <w:rPr>
          <w:b/>
        </w:rPr>
        <w:t>E. 2.1</w:t>
      </w:r>
    </w:p>
    <w:p>
      <w:r>
        <w:t>En matière d'arbitrage interne, le grief tiré de l'incompétence du tribunal arbitral ( art. 393 let. b CPC ) correspond à celui qu'énonce l' art. 190 al. 2 let. b LDIP pour l'arbitrage international (arrêt 4A_515/2012, précité, consid. 2.5).</w:t>
      </w:r>
    </w:p>
    <w:p>
      <w:r>
        <w:t>Saisi du grief d'incompétence, le Tribunal fédéral examine librement les questions de droit, y compris les questions préalables, qui déterminent la compétence ou l'incompétence du tribunal arbitral ( ATF 142 III 220 consid. 3.1; 140 III 477 consid. 3.1, 134 consid. 3.1). Il ne recherche toutefois pas lui-même les arguments juridiques qui pourraient justifier l'admission du grief fondé sur l' art. 393 let. b CPC , puisqu'il appartient au recourant d'attirer son attention sur eux ( art. 77 al. 3 LTF ; ATF 142 III 239 consid. 3.1; 134 III 565 consid. 3.1). Sous cette réserve, le Tribunal fédéral, dans le cadre de son libre examen de tous les aspects juridiques entrant en ligne de compte (</w:t>
      </w:r>
    </w:p>
    <w:p>
      <w:r>
        <w:t>jura novit curia ), sera amené, le cas échéant, à rejeter le grief en question sur la base d'un autre motif que celui qui est indiqué dans la sentence entreprise, pour peu que les faits retenus par le tribunal arbitral suffisent à justifier cette substitution de motif ( ATF 142 III 239 consid. 3.1; arrêt 4A_392/2008 du 22 décembre 2008 consid. 3.2). Inversement et sous la même réserve, il pourra admettre le grief d'incompétence sur la base d'une nouvelle argumentation juridique développée devant lui par le recourant à partir de faits constatés dans la sentence attaquée (arrêt 4A_473/2016, précité, consid. 2.1).</w:t>
      </w:r>
    </w:p>
    <w:p>
      <w:r>
        <w:t>En revanche, le Tribunal fédéral, sauf exceptions, ne revoit pas les constatations de fait de la sentence attaquée, même lorsqu'il jouit d'une pleine cognition à l'égard du droit (cf. consid. 1.5 ci-dessus).</w:t>
      </w:r>
    </w:p>
    <w:p>
      <w:r>
        <w:rPr>
          <w:b/>
        </w:rPr>
        <w:t>E. 2.2</w:t>
      </w:r>
    </w:p>
    <w:p>
      <w:r>
        <w:t>Dans la première branche de son unique moyen, le recourant s'en prend au jugement du 20 mars 2017 par lequel le Tribunal a nommé Me E.________ en qualité d'arbitre unique. A l'en croire, faute de réalisation de l'une des trois hypothèses limitativement visées par l' art. 362 al. 1 CPC , le juge d'appui n'était pas autorisé à procéder à une telle nomination, ni du reste à compléter pour ce faire la convention d'arbitrage signée par les parties, semblable complètement étant du ressort exclusif de l'arbitre. Cette disposition ne lui permettait que de nommer un arbitre choisi parmi les membres du Conseil de l'Ordre ou, sinon, de rejeter la requête ad hoc. Dès lors, la décision prise par le juge d'appui serait entachée de nullité absolue et la nomination de l'arbitre unique privée de toute base légale.</w:t>
      </w:r>
    </w:p>
    <w:p>
      <w:r>
        <w:rPr>
          <w:b/>
        </w:rPr>
        <w:t>E. 2.2.1</w:t>
      </w:r>
    </w:p>
    <w:p>
      <w:r>
        <w:t>Contrairement à la décision par laquelle le juge d'appui</w:t>
      </w:r>
    </w:p>
    <w:p>
      <w:r>
        <w:t>refuse de nommer un arbitre ou déclare irrecevable la requête ad hoc - décision qui peut être soumise directement au Tribunal fédéral par la voie du recours en matière civile ( ATF 141 III 444 consid. 2) -, la décision par laquelle le juge d'appui</w:t>
      </w:r>
    </w:p>
    <w:p>
      <w:r>
        <w:t>nomme un arbitre, conformément à l' art. 362 CPC , n'est pas sujette à recours, que ce soit directement ou indirectement, c'est-à-dire conjointement avec un recours en matière civile dirigé contre la sentence ultérieure, incidente ou finale, par laquelle l'arbitre unique désigné (ou le tribunal arbitral constitué) avec l'aide du juge d'appui admet sa compétence sans être lié par les motifs retenus à ce propos dans la décision étatique de nomination ( ATF 142 III 234 consid. 1.4).</w:t>
      </w:r>
    </w:p>
    <w:p>
      <w:r>
        <w:t>D'où il suit que le jugement du 20 mars 2017 portant nomination de l'avocat E.________ en qualité d'arbitre unique n'est pas attaquable comme tel, même dans le cadre d'un recours en matière civile dirigé contre la sentence incidente sur compétence rendue ultérieurement par ledit arbitre. Demeure réservée l'hypothèse de la nullité absolue de la décision de nomination que le recourant invoque à l'appui de ses conclusions.</w:t>
      </w:r>
    </w:p>
    <w:p>
      <w:r>
        <w:rPr>
          <w:b/>
        </w:rPr>
        <w:t>E. 2.2.2.1</w:t>
      </w:r>
    </w:p>
    <w:p>
      <w:r>
        <w:t>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 ATF 138 II 501 consid. 3.1; 137 I 273 consid. 3.1). Sauf dans les cas expressément prévus par la loi, il ne faut admettre la nullité qu'à titre exceptionnel, lorsque les circonstances sont telles que le système d'annulabilité n'offre manifestement pas la protection nécessaire ( ATF 130 II 249 consid. 2.4).</w:t>
      </w:r>
    </w:p>
    <w:p>
      <w:r>
        <w:t>Si la jurisprudence a coutume de dire que la nullité peut être constatée "par toute autorité", cela tient au fait qu'il existe une grande diversité de situations dans lesquelles une décision nulle peut influer sur la validité de décisions postérieures relevant d'autres autorités. On ne peut donc pas énumérer toutes les autorités qui, amenées à rendre une décision ultérieure (par exemple une décision d'exécution), pourront constater à titre préjudiciel que la décision initiale est affectée d'un tel vice (arrêt 4A_142/2016 du 25 novembre 2016 consid. 2.2).</w:t>
      </w:r>
    </w:p>
    <w:p>
      <w:r>
        <w:t>La nullité absolue, constatable en tout temps, d'une décision en matière d'arbitrage ne sera prononcée que dans des cas extrêmes, tels que le défaut d'arbitrabilité du litige, et doit rester l'exception (arrêt 4P.267/1994 du 21 juin 1995 consid. 3a; pour des exemples, cf. BERNARD CORBOZ, Commentaire de la LTF, 2e éd. 2014, n° 179/180 ad art. 77 LTF ). Ainsi, une sentence, même affectée d'un vice grave, n'est en principe pas nulle, mais seulement annulable, remarque qui vaut plus particulièrement pour les vices que la loi érige en motifs d'annulation de la sentence, comme le fait pour le tribunal arbitral de se déclarer à tort compétent ou incompétent ( art. 393 let. b CPC ).</w:t>
      </w:r>
    </w:p>
    <w:p>
      <w:r>
        <w:rPr>
          <w:b/>
        </w:rPr>
        <w:t>E. 2.2.2.2</w:t>
      </w:r>
    </w:p>
    <w:p>
      <w:r>
        <w:t>Une décision par laquelle l'autorité judiciaire compétente en vertu de l' art. 356 al. 2 CPC procède à la nomination d'un arbitre, en application de l' art. 362 CPC , n'est pas sujette à quelque recours que ce soit, comme on l'a rappelé plus haut (cf. consid. 2.2.1, 1er §). Si le législateur fédéral n'a pas jugé nécessaire d'ouvrir une voie de droit pour contester pareille décision, il est peu probable, l'hypothèse où elle serait affectée d'un vice gravissime étant réservée, que celle-ci puisse être entachée de nullité absolue. Dans le même ordre d'idées et sur un plan plus général, le défaut de compétence de l'arbitre unique ou du tribunal arbitral constitue un motif, non pas de nullité, mais seulement d'annulation de la sentence sur recours.</w:t>
      </w:r>
    </w:p>
    <w:p>
      <w:r>
        <w:t>Considérée dans ce contexte, la décision, prise le 20 mars 2017 par le juge d'appui, de compléter la clause d'arbitrage lacunaire et de désigner un arbitre unique en la personne d'un avocat membre de l'Ordre des avocats genevois depuis plus de huit ans et associé d'une étude genevoise, autrement dit d'un homme de loi qui remplissait les conditions d'éligibilité au Conseil de l'Ordre, le tout sous réserve de l'examen de sa propre compétence par l'arbitre désigné, ne comportait rien qui justifiât la sanction extrême de la nullité absolue. C'est d'autant plus vrai que, comme on le démontrera ci-après, cette décision ne violait nullement la loi.</w:t>
      </w:r>
    </w:p>
    <w:p>
      <w:r>
        <w:t>L' art. 362 al. 1 CPC énumère les trois cas suivants dans lesquels intervient la nomination par l'autorité judiciaire: a) les parties ne peuvent pas s'entendre sur la nomination de l'arbitre unique ou du président; b) une partie omet de désigner un arbitre dans les 30 jours à compter de celui où elle a été appelée à le faire; c) les arbitres désignés ne peuvent s'entendre sur le choix d'un président dans les 30 jours qui suivent leur nomination. Selon le rapport de juin 2003 accompagnant l'avant-projet de la commission d'experts chargée d'élaborer une loi fédérale de procédure civile, la disposition citée, qui constituait alors l'art. 353 al. 1 de l'avant-projet, est une nouvelle formulation de l'état de fait réglé à l'art. 12 de feu le Concordat sur l'arbitrage du 27 mars 1969 (CA). Or, cette disposition concordataire, à l'image de la disposition en force, était ainsi formulée qu'elle pouvait donner à penser que les cas d'intervention du juge d'appui énumérés par elle étaient exhaustifs. Cependant, à l'époque déjà, la jurisprudence n'avait pas hésité à appliquer par analogie l' art. 12 CA à la situation, non prévue par cette disposition, où le tiers, chargé de cette mission par les parties, n'avait pas procédé à la nomination d'un des arbitres ( ATF 110 Ia 59 consid. 3b). Partisan de cette application extensive de la norme concordataire susmentionnée, un auteur la justifiait alors en ces termes (PIERRE JOLIDON, Commentaire du Concordat sur l'arbitrage, 1984, p. 214) :</w:t>
      </w:r>
    </w:p>
    <w:p>
      <w:r>
        <w:t>"..., les parties qui ont choisi la voie de l'arbitrage ont manifesté leur volonté de ne pas faire trancher leur différend par la juridiction étatique. Dès lors, le maintien de la convention d'arbitrage est la règle, et son extinction l'exception. L'intervention subsidiaire de l'autorité judiciaire est l'un des moyens qu'offre le [CA] pour consolider la voie arbitrale voulue par les parties là où leur volonté risque d'être impuissante. Ce n'est que s'il résulte de la convention d'arbitrage elle-même que l'accord des parties sur la personne des arbitres est un élément si fondamental de cette convention qu'il exclut l'intervention d'une autorité judiciaire pour suppléer aux défaillances pouvant survenir, que l'art. 12 n'est pas applicable dans les cas visés (...). Il en va différemment lorsque le ou les arbitres désignés d'un commun accord refusent d'accepter leur mission, ou lorsque le tiers chargé par les parties de désigner le ou les arbitres ou le surarbitre, ne peut ou ne veut pas le faire."</w:t>
      </w:r>
    </w:p>
    <w:p>
      <w:r>
        <w:t>Ce qui était vrai jadis l'est toujours à l'heure actuelle. En effet, les commentateurs du CPC s'accordent, eux aussi, pour les mêmes raisons, à admettre le caractère non exhaustif des cas de nomination par l'autorité judiciaire énumérés à l' art. 362 al. 1 CPC , nonobstant le texte de cette disposition qui semblerait plaider de prime abord en faveur de la conclusion inverse (STEFAN GRUNDMANN, in Kommentar zur Schweizerischen Zivilprozessordnung [ZPO], Sutter-Somm/Hasenböhler/Leuenberger [éd.], 3e éd. 2016, n° 16a ad art. 362 CPC ; SCHWANDER/STACHER, in Schweizerische Zivilprozessordnung [ZPO], 2e éd. 2016, n° 7 ad art. 362 CPC ; BOOG/STARK-TRABER, in Commentaire bernois, Schweizerische Zivilprozessordnung, vol. III 2014, n° 27/28 ad art. 362 CPC ; FELIX DASSER, in ZPO, Oberhammer/Domej/Haas, 2e éd. 2014, n° 2 ad art. 362 LTF ; PHILIPP HABEGGER, in Commentaire bâlois, Schweizerische Zivilprozessordnung, 2e éd. 2013, nos 16/17 ad art. 362 CPC ; RICHARD GASSMANN, in Schweizerische Zivilprozessordnung [ZPO], Baker &amp; M c Kenzie [éd.] 2010, n° 17 ad art. 362 CPC ; voir aussi: TARKAN GÖKSU, Schiedsgerichtsbarkeit, 2014, n. 838 et 840).</w:t>
      </w:r>
    </w:p>
    <w:p>
      <w:r>
        <w:t>En l'espèce, la clause arbitrale, telle qu'elle avait été adoptée par les parties, les a conduites dans une impasse, car elle n'envisageait pas la situation dans laquelle le bâtonnier en exercice serait destitué de sa fonction d'arbitre en raison du retard considérable accumulé dans le traitement de la cause, ni celle où le nouveau bâtonnier renoncerait à assumer cette mission, non plus que le refus de chacun des membres du Conseil de l'Ordre de siéger comme arbitre unique dans cette cause. Pour sortir de l'impasse, le Tribunal de première instance du canton de Genève a trouvé une solution qui était la plus proche de celle que les parties avaient adoptée dans la convention d'arbitrage, puisqu'il a nommé un avocat genevois qui remplissait les conditions pour être membre du Conseil de l'Ordre, avocat dont le recourant se plaira d'ailleurs à souligner, dans les conclusions qu'il lui soumettra ultérieurement, les "qualités professionnelles qui sont reconnues et qui ne sont pas mises en doute ici". Cette solution était en parfait accord avec la manière dont la doctrine interprète l' art. 362 al. 1 CPC , sauf à vérifier plus loin, lors de l'interprétation de la clause arbitrale qu'il faudra encore effectuer, que les cocontractants n'avaient pas fait du mode de désignation de l'arbitre unique prévu au second paragraphe de ladite clause une condition sine qua non de la liquidation de leur différend par la voie arbitrale.</w:t>
      </w:r>
    </w:p>
    <w:p>
      <w:r>
        <w:t>Cela étant et en tout état de cause, c'est-à-dire même si l'existence d'une telle condition devait être retenue, il ne saurait être question de conclure, en l'espèce, à la nullité absolue de la décision prise le 20 mars 2017 par le juge d'appui.</w:t>
      </w:r>
    </w:p>
    <w:p>
      <w:r>
        <w:rPr>
          <w:b/>
        </w:rPr>
        <w:t>E. 2.3</w:t>
      </w:r>
    </w:p>
    <w:p>
      <w:r>
        <w:t>Dans la deuxième branche du même moyen, le recourant fait grief à l'arbitre unique de ne pas avoir réexaminé de manière indépendante et d'office sa compétence mais de s'être contenté de suivre l'avis du juge d'appui, alors que la décision de nomination prise par ce juge était radicalement nulle et n'aurait de toute façon pas lié l'arbitre unique, ne l'eût-elle point été. Pour lui, il n'y avait pas matière à application des art. 119 CO et 20 al. 2 CO en l'espèce, puisqu'aussi bien l'hypothèse d'une impossibilité objective subséquente, au sens de la première de ces deux dispositions, pouvait être exclue d'emblée dès lors qu'il était et serait toujours possible de mettre en oeuvre la convention d'arbitrage telle qu'elle avait été stipulée par les cocontractants.</w:t>
      </w:r>
    </w:p>
    <w:p>
      <w:r>
        <w:rPr>
          <w:b/>
        </w:rPr>
        <w:t>E. 2.3.1</w:t>
      </w:r>
    </w:p>
    <w:p>
      <w:r>
        <w:t>Des deux prémisses qui sous-tendent le raisonnement du recourant, l'une est erronée, l'autre correcte.</w:t>
      </w:r>
    </w:p>
    <w:p>
      <w:r>
        <w:rPr>
          <w:b/>
        </w:rPr>
        <w:t>E. 2.3.1.1</w:t>
      </w:r>
    </w:p>
    <w:p>
      <w:r>
        <w:t>L'affirmation voulant que la décision de nomination de l'arbitre unique prise par le juge d'appui soit absolument nulle et réputée n'avoir jamais existé est infirmée par le résultat de l'examen auquel il a été procédé ci-dessus (cf. consid. 2.2).</w:t>
      </w:r>
    </w:p>
    <w:p>
      <w:r>
        <w:rPr>
          <w:b/>
        </w:rPr>
        <w:t>E. 2.3.1.2</w:t>
      </w:r>
    </w:p>
    <w:p>
      <w:r>
        <w:t>Vrai est-il, en revanche, que, selon la jurisprudence du Tribunal fédéral, lorsque le juge d'appui, saisi d'une demande ad hoc, nomme un arbitre, sa décision, rendue en procédure non contentieuse, ne jouit pas de l'autorité de la chose jugée, de sorte que les arbitres nommés ont encore la faculté d'examiner de manière indépendante la compétence et la régularité de la composition du tribunal arbitral, ce principe valant aussi,</w:t>
      </w:r>
    </w:p>
    <w:p>
      <w:r>
        <w:t>mutatis mutandis , lorsque, comme en l'espèce, un arbitre unique a été désigné pour trancher le différend. La décision incidente rendue sur ce point ( art. 359 al. 1 CPC ) par les arbitres nommés, respectivement par l'arbitre unique désigné, est, dès lors, sujette à recours immédiat au Tribunal fédéral ( art. 392 let. b CPC ) pour les motifs prévus à l' art. 393 let. a et b CPC (cf. arrêt 4A_146/2012 du 10 janvier 2013 consid. 3.3.2, 1er §).</w:t>
      </w:r>
    </w:p>
    <w:p>
      <w:r>
        <w:t>Quoi qu'en dise le recourant, l'arbitre unique n'a nullement méconnu ces principes. Au contraire, après avoir rappelé, aux n. 80/81 de sa sentence incidente, les limites du pouvoir d'examen de l'autorité judiciaire saisie d'une requête de nomination d'un arbitre, telles qu'elles découlent de l' art. 362 al. 3 CPC et de la jurisprudence y afférente ( ATF 141 III 444 consid. 3), il a procédé librement à l'analyse des conditions de sa propre compétence (sentence, n. 86 ss).</w:t>
      </w:r>
    </w:p>
    <w:p>
      <w:r>
        <w:rPr>
          <w:b/>
        </w:rPr>
        <w:t>E. 2.3.2</w:t>
      </w:r>
    </w:p>
    <w:p>
      <w:r>
        <w:t>Le juge d'appui et l'arbitre unique ont raisonné sur la base des art. 20 al. 2 et 119 CO . A la réflexion, la mise en oeuvre de notions juridiques tirées du droit matériel, telles la nullité partielle et l'impossibilité subséquente d'exécution, n'était pas nécessaire</w:t>
      </w:r>
    </w:p>
    <w:p>
      <w:r>
        <w:t>in casu , le droit de l'arbitrage, plus précisément la jurisprudence relative à la clause pathologique, fournissant déjà le moyen de remédier à une situation du même type que celle appréhendée par ces deux dispositions de la partie générale du code des obligations.</w:t>
      </w:r>
    </w:p>
    <w:p>
      <w:r>
        <w:rPr>
          <w:b/>
        </w:rPr>
        <w:t>E. 2.3.2.1</w:t>
      </w:r>
    </w:p>
    <w:p>
      <w:r>
        <w:t>Les dispositions des conventions d'arbitrage qui sont incomplètes, peu claires ou contradictoires sont considérées comme des clauses pathologiques.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(arrêt 4A_136/2015 du 15 septembre 2015 consid. 2.2.2).</w:t>
      </w:r>
    </w:p>
    <w:p>
      <w:r>
        <w:t>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135 III 295 consid. 5.2 p. 302 et les arrêts cités). Supposé que l'application de ce principe n'aboutisse pas à un résultat concluant, des moyens d'interprétation subsidiaires pourront être mis en oeuvre, telle la règle dite des clauses ambiguës en vertu de laquelle le contrat s'interprète, en cas de doute, en défaveur de son rédacteur (</w:t>
      </w:r>
    </w:p>
    <w:p>
      <w:r>
        <w:t>Unklarheitsrege l,</w:t>
      </w:r>
    </w:p>
    <w:p>
      <w:r>
        <w:t>in dubio contra stipulatorem ou</w:t>
      </w:r>
    </w:p>
    <w:p>
      <w:r>
        <w:t>proferentem ; ATF 124 III 155 consid. 1b p. 158 et les arrêts cités).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w:t>
      </w:r>
    </w:p>
    <w:p>
      <w:r>
        <w:t>Utilitätsgedanke ), c'est-à-dire de donner à la clause pathologique un sens qui permette de maintenir la convention d'arbitrage ( ATF 138 III 29 consid. 2.3.3 [condition réalisée]; arrêts 4A_388/2012 du 18 mars 2013 consid. 3.4.3 et 4A_244/2012 du 17 janvier 2013 consid. 4.4 [condition non réalisée]). Partant, une désignation imprécise ou erronée du tribunal arbitral n'entraîne pas nécessairement l'invalidité de la convention d'arbitrage ( ATF 138 III 29 consid. 2.2.3 p. 36 et les arrêts cités).</w:t>
      </w:r>
    </w:p>
    <w:p>
      <w:r>
        <w:rPr>
          <w:b/>
        </w:rPr>
        <w:t>E. 2.3.2.2</w:t>
      </w:r>
    </w:p>
    <w:p>
      <w:r>
        <w:t>La clause arbitrale litigieuse, dont le texte a été reproduit plus haut (cf. let. A.a de la partie consacrée au résumé des faits de la cause), revêt assurément un caractère pathologique, au sens de la jurisprudence précitée. Elle est, en effet, incomplète car elle n'envisage pas le cas de figure dans lequel, le bâtonnier en exercice ayant refusé de siéger comme arbitre unique, chacun des membres du Conseil de l'Ordre qu'il aurait pu et dû désigner pour le remplacer lui emboîterait le pas. Pareil refus d'accepter leur mission, signifié par l'ensemble des arbitres potentiels désignés indirectement dans la convention d'arbitrage, constitue précisément l'une des situations d'impasse mis en avant par la doctrine susmentionnée pour justifier une application extensive de la possibilité, prévue par l' art. 362 al. 1 CPC , d'une nomination de l'arbitre par l'autorité judiciaire compétente (cf. consid. 2.2.2.2).</w:t>
      </w:r>
    </w:p>
    <w:p>
      <w:r>
        <w:t>Le raisonnement qui précède repose sur la constatation de fait de l'arbitre unique, selon laquelle "aucun membre du Conseil de l'Ordre n'a souhaité fonctionner comme arbitre" (sentence, n. 88). Le recourant conteste qu'une telle constatation ait pu être faite à partir de la simple information, fournie au juge d'appui par le bâtonnier et le trésorier de l'Ordre des avocats genevois, comme quoi aucun membre du Conseil de l'Ordre n'était disposé à agir en qualité d'arbitre dans la présente espèce; selon lui, cette lettre n'équivalait pas à une prise de position personnelle de chacun des membres du Conseil de l'Ordre, dont le bâtonnier et le trésorier n'étaient au demeurant pas les représentants autorisés; à quoi venait s'ajouter le fait que ne pas être disposé à agir comme arbitre n'était pas synonyme de ne pas pouvoir agir ès qualités (recours, p. 9, n. 1).</w:t>
      </w:r>
    </w:p>
    <w:p>
      <w:r>
        <w:t>Il n'est pas possible de suivre le recourant pour diverses raisons: d'abord, l'intéressé joue sur les mots en refusant de mettre sur un pied d'égalité le refus de tous les membres du Conseil de l'Ordre d'assumer la fonction d'arbitre, selon que ce refus a été signifié au juge d'appui par chacun de ces membres directement (première hypothèse) ou l'a été par le truchement du bâtonnier et du trésorier de l'Ordre des avocats genevois (seconde hypothèse), en laissant sous-entendre, sans aucune démonstration du reste, que ces deux responsables de ladite institution n'auraient pas été de fidèles messagers des membres individuels du Conseil, ni n'auraient eu le pouvoir de représenter chacun de ceux-ci; ensuite, la constatation incriminée ne fait pas état de la manière dont semblable refus a été communiqué au juge d'appui; de surcroît, le recourant n'invoque pas le grief énoncé à l' art. 393 let . e CPC à l'encontre de cette constatation, ce qui est rédhibitoire ( art. 77 al. 3 LTF ); l'aurait-il fait implicitement d'ailleurs, qu'il devrait se laisser opposer, au demeurant, le fait que son argumentation ne s'inscrit en rien dans les limites fixées par la jurisprudence en la matière (cf. consid. 1.5, 2e §, ci-dessus); enfin, comme un arbitre doit accepter son mandat ( art. 364 al. 1 CPC ), qu'il ne saurait être forcé à accepter une mission qu'il refuse (PHILIPPE SCHWEIZER, in CPC Code de procédure civile commenté, 2011, n° 4 ad art. 364 CPC ; voir cependant, HABEGGER, op. cit., n° 4a ad art. 364 CPC ) et que le recourant ne soutient pas que l'Ordre des avocats genevois aurait édicté des dispositions obligeant les membres de son Conseil à accepter leur éventuelle nomination en tant qu'arbitres, on ne discerne pas en quoi revêtirait de l'importance la circonstance, mise en évidence dans le recours, que chacun des membres du Conseil de l'Ordre n'a pas</w:t>
      </w:r>
    </w:p>
    <w:p>
      <w:r>
        <w:t>souhaité agir ès qualités alors qu'il avait objectivement la possibilité d'exercer cette fonction.</w:t>
      </w:r>
    </w:p>
    <w:p>
      <w:r>
        <w:rPr>
          <w:b/>
        </w:rPr>
        <w:t>E. 2.3.2.3</w:t>
      </w:r>
    </w:p>
    <w:p>
      <w:r>
        <w:t>Il ressort du résumé de son argumentation, tel qu'il a été fait plus haut (cf. let. B.c, 2e §, de la partie consacrée au résumé des faits de la cause), que l'arbitre unique est parvenu à établir une volonté réelle et concordante des parties de recourir à l'arbitrage et, partant, de conclure la convention d'arbitrage même sans sa partie impossible à exécuter. Il s'agit là d'une constatation de fait qui lie le Tribunal fédéral, qu'elle soit fondée ou non. Aussi le recourant tente-t-il en pure perte de la remettre en cause, du moins de la manière dont il s'y emploie. En effet, se contenter de taxer cette constatation d'arbitraire, de mettre en évidence, par des caractères gras ne figurant pas dans la version originale, un terme extrait de la clause arbitrale (</w:t>
      </w:r>
    </w:p>
    <w:p>
      <w:r>
        <w:t>nécessairement ), ou encore d'alléguer, sur un mode appellatoire, que les parties avaient adopté un comportement autre que celui retenu par l'arbitre unique (recours, p. 9/10, n. 3) n'est pas une manière admissible d'argumenter dans un recours en matière d'arbitrage interne, sans compter que les critiques formulées par le recourant vont bien au-delà des limites fixées par la jurisprudence relative à l' art. 393 let . e CPC (cf. consid. 1.5, 2e §, ci-dessus).</w:t>
      </w:r>
    </w:p>
    <w:p>
      <w:r>
        <w:rPr>
          <w:b/>
        </w:rPr>
        <w:t>E. 2.4.1</w:t>
      </w:r>
    </w:p>
    <w:p>
      <w:r>
        <w:t>En troisième lieu, le recourant, toujours sous l'angle de la compétence, critique le rejet de son exception de médiation préalable. Selon lui, cette décision serait indéfendable à plus d'un titre: premièrement, parce que l'intimé a d'abord introduit sa requête d'arbitrage, le 1er février 2011, avant de proposer le nom d'un médiateur potentiel, le 22 août 2011, après que son adverse partie eut soulevé l'objection d'incompétence, inversant par là même l'ordre de priorité établi par la clause arbitrale; deuxièmement, parce que, du fait de l'inaction prolongée de l'arbitre A.________, l'arbitre E.________, désigné en 2017, ne pouvait raisonnablement pas partir du principe qu'une proposition faite en 2011, quant à la personne du médiateur, suffisait à épuiser le mécanisme contractuel du recours à la médiation avant tout arbitrage; troisièmement, parce qu'il était contraire à la dernière jurisprudence publiée en la matière ( ATF 142 III 296 consid. 2.4) d'admettre d'emblée la vanité d'une tentative de médiation, sauf à sous-estimer le rôle dévolu à un médiateur dans la liquidation d'un différend, en particulier lorsqu'il est mis en oeuvre en cours de procédure arbitrale; quatrièmement, parce que la suspension de la procédure d'arbitrage, conjuguée avec la fixation d'un délai qui permettra aux parties de procéder à la conciliation qui s'impose, suffira à sanctionner le non-respect, par l'intimé, du préalable de la médiation, l'absence, en l'espèce, d'un cadre institutionnel pour la médiation à venir ne changeant d'ailleurs rien à l'affaire.</w:t>
      </w:r>
    </w:p>
    <w:p>
      <w:r>
        <w:rPr>
          <w:b/>
        </w:rPr>
        <w:t>E. 2.4.2</w:t>
      </w:r>
    </w:p>
    <w:p>
      <w:r>
        <w:t>Semblable argumentation n'emporte pas la conviction de la Cour de céans à maints égards.</w:t>
      </w:r>
    </w:p>
    <w:p>
      <w:r>
        <w:t>D'abord, le recourant ne réfute pas l'argument principal de l'arbitre unique selon lequel la décision prise le 20 août 2015 par l'arbitre A.________, alors en exercice, relativement à l'exception de médiation, était définitive, pour n'avoir pas été attaquée par lui, et liait donc les arbitres ayant été appelés successivement à se saisir de la même cause. C'est le lieu de rappeler que, lorsqu'un tribunal arbitral, par une sentence séparée, écarte une exception d'incompétence, il rend une décision incidente que la partie défenderesse doit entreprendre immédiatement sous peine de forclusion (cf.,</w:t>
      </w:r>
    </w:p>
    <w:p>
      <w:r>
        <w:t>mutatis mutandis , l'arrêt 4A_98/2017 du 20 juillet 2017 consid. 2.2, destiné à la publication, et l' ATF 130 III 66 consid. 4.3). Or, le grief fait à un tribunal arbitral d'avoir violé le mécanisme contractuel constituant un préalable obligatoire à l'arbitrage revient à lui reprocher de ne pas s'être déclaré incompétent</w:t>
      </w:r>
    </w:p>
    <w:p>
      <w:r>
        <w:t>ratione temporis (cf. arrêts 4A_46/2011 du 16 mai 2011 consid. 3.3.2, dernier §, et 4A_18/2007 du 6 juin 2007 consid. 4.2; pour un cas d'application, cf. ATF 142 III 296 ). Dans la présente espèce, le recourant aurait donc dû attaquer dans les 30 jours suivant sa notification ( art. 100 al. 1 LTF en liaison avec l' art. 389 al. 2 CPC ) la sentence incidente sur compétence du 20 août 2015 par laquelle l'arbitre A.________ avait écarté son exception de médiation ( art. 392 let. b CPC ). Or, il a laissé cette décision intacte, si bien qu'elle est entrée en force et devrait s'opposer normalement à ce qu'il réclame derechef la mise en oeuvre d'une procédure de médiation, sans qu'il importe à première vue qu'il ait requis ultérieurement la destitution de cet arbitre pour un motif n'ayant aucun lien avec la question de la médiation.</w:t>
      </w:r>
    </w:p>
    <w:p>
      <w:r>
        <w:t>Dans la décision attaquée, l'arbitre unique, se basant sur l' art. 371 al. 3 CPC , s'est toutefois demandé si la décision du 20 août 2015 ne devait pas être réitérée sur ce point en raison du remplacement de l'arbitre qui l'avait rendue. Il a répondu par la négative à cette question du fait que la destitution du premier arbitre n'avait pas été motivée par une quelconque partialité de celui-ci susceptible d'expliquer le rejet de l'exception de médiation, mais par le retard que l'intéressé avait pris dans l'instruction du dossier. Et l'arbitre unique d'ajouter qu'il ne voyait a fortiori pas de raison de réitérer la décision prise le 26 août 2016 par le deuxième arbitre (Me C.________), puisque ce dernier avait estimé lui-même qu'il n'était pas nécessaire de réitérer la décision du 20 août 2015. On cherche en vain, dans le mémoire de recours, une critique un tant soit peu motivée de ces considérations émises par l'arbitre unique.</w:t>
      </w:r>
    </w:p>
    <w:p>
      <w:r>
        <w:t>Enfin, la décision prise par l'arbitre unique, dans le cadre d'une argumentation subsidiaire, de rejeter, lui aussi, l'exception de médiation, s'il avait jugé nécessaire,</w:t>
      </w:r>
    </w:p>
    <w:p>
      <w:r>
        <w:t>quod non , de réitérer celle du 20 août 2015, est marquée au coin du bon sens, malgré qu'en ait le recourant, à tout le moins dans son résultat. Il est constant que l'intimé a tenté d'initier la procédure de médiation le 22 août 2011 en proposant à son ex-associé le nom d'un médiateur. Qu'il l'ait fait</w:t>
      </w:r>
    </w:p>
    <w:p>
      <w:r>
        <w:t>pendente lite , environ sept mois après avoir déposé sa requête d'arbitrage, n'apparaît nullement déterminant du reste, dans la mesure où l'on ne voit pas en quoi les droits procéduraux de son adverse partie auraient été lésés de manière inadmissible. Or, à réception de cette proposition, le recourant a fait la sourde oreille. De même n'a-t-il pas réagi à réception du double de la lettre du 28 septembre 2011 par laquelle son confrère avait signalé la chose à l'arbitre A.________ en lui faisant part de son plus grand scepticisme quant à la réussite d'une éventuelle médiation. Qui plus est, alors que l'intimé avait requis la poursuite de l'instruction de la cause et relancé régulièrement l'arbitre à cette fin pendant plus de deux ans et demi, le recourant, de son côté, n'avait pas tenté de provoquer une autre procédure de médiation, ce qu'il n'eût pas manqué de faire si, comme il l'affirme aujourd'hui, il attachait une importance capitale à ce préalable et y voyait le moyen le plus sûr de liquider le différend l'opposant à son confrère. Il est donc établi que l'intimé a mis en branle le processus de médiation au second semestre de 2011, mais que cette initiative a avorté par la faute du recourant. Au demeurant, en 2015 déjà, l'arbitre A.________ soulignait, dans sa décision, que "[s]i toutefois l'échec de la médiation n'était avéré, l'animosité que les parties se marquent semble clairement indicatrice de la vanité d'un tel procédé". Cette remarque était prémonitoire, tant il est vrai, à en juger par le comportement que les parties ont adopté depuis lors dans la procédure pendante, y compris devant le Tribunal fédéral, et le ton peu amène de leurs écritures respectives, que le succès d'une éventuelle médiation semble plus qu'aléatoire à l'heure actuelle. A cet égard, l'affirmation inverse du recourant, fondée sur les considérations d'ordre général émises par le Tribunal fédéral dans l'arrêt publié aux ATF 142 III 296 consid. 2.4, n'est pas crédible, dès lors que comparaison n'est pas toujours raison et qu'au surplus les circonstances qui caractérisent la présente cause, étant donné leur nature éminemment personnelle (i.e. la rupture des liens contractuels noués par deux anciens associés travaillant dans le même cabinet d'avocats), n'ont rien de comparable avec celles qui voyaient s'opposer, dans la cause ayant donné lieu au prononcé de l'arrêt précité, des sociétés productrices d'hydrocarbures sises dans deux pays différents. De plus, alors que ces dernières bénéficiaient d'une procédure encadrée qui leur permettait de tenter la médiation en appliquant des règles précises édictées par la Chambre de Commerce Internationale, les parties litigantes en sont réduites, en l'espèce, à composer avec un processus réduit à sa plus simple expression. En effet, la clause arbitrale les invite simplement à agir "par la voie de la médiation en désignant un médiateur". Elle est muette, entre autres questions, sur le point de savoir qui serait compétent pour désigner le médiateur dans l'hypothèse, à tout le moins vraisemblable, où les parties ne parviendraient pas à se mettre d'accord sur la personne du médiateur. Il est ainsi à craindre qu'un nouveau débat ne s'ouvre à ce sujet et que la liquidation du différend opposant les parties ne soit renvoyée aux calendes grecques. Quoi qu'il en soit, il ne serait pas raisonnable de différer encore davantage l'avancement de la procédure arbitrale en ordonnant aux parties de tenter la médiation plus de six ans après la création de la litispendance.</w:t>
      </w:r>
    </w:p>
    <w:p>
      <w:r>
        <w:rPr>
          <w:b/>
        </w:rPr>
        <w:t>E. 3</w:t>
      </w:r>
    </w:p>
    <w:p>
      <w:r>
        <w:t>Force est, dès lors, de rejeter le recours au terme de cet examen. Par conséquent, le recourant, qui succombe, devra payer les frais de la procédure fédérale ( art. 66 al. 1 LTF ).</w:t>
      </w:r>
    </w:p>
    <w:p>
      <w:r>
        <w:t>L'intimé, qui exerce la profession d'avocat, a procédé en personne jusqu'à la fin du mois de septembre 2017. Il a déposé des observations sur l'effet suspensif, qui couvrent trois pages. L'activité déployée par lui n'est donc pas d'une intensité telle qu'elle justifierait l'allocation exceptionnelle d'une indemnité pour ses dépens à l'avocat ayant agi par lui-même (cf. ATF 125 II 518 consid. 5b p. 519). Le 2 octobre 2017, Me Alain Lévy, agissant au nom de l'intimé, a produit des conclusions motivées au fond. Toutefois, de son propre aveu, il l'a fait spontanément après que le délai de réponse au recours, dont il n'avait pas requis la prolongation, avait expiré. Aussi l'intimé ne saurait-il réclamer des dépens de ce chef (cf. arrêt 4A_364, 394 et 396/2013 du 5 mars 2014 consid.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