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407/2010 vom 17. November 2010</w:t>
      </w:r>
    </w:p>
    <w:p>
      <w:r>
        <w:t>Bundesgericht, 2010-11-17, FR</w:t>
      </w:r>
    </w:p>
    <w:p>
      <w:r>
        <w:rPr>
          <w:b/>
        </w:rPr>
        <w:t xml:space="preserve">Quelle: </w:t>
      </w:r>
      <w:r>
        <w:t>https://mcp.opencaselaw.ch/entscheid/bger_4A_407_2010</w:t>
      </w:r>
    </w:p>
    <w:p>
      <w:r>
        <w:t>FR: TF 4A 407/2010 du 17 novembre 2010</w:t>
      </w:r>
    </w:p>
    <w:p>
      <w:r>
        <w:t>IT: TF 4A 407/2010 del 17 novembre 2010</w:t>
      </w:r>
    </w:p>
    <w:p>
      <w:pPr>
        <w:pStyle w:val="Heading2"/>
      </w:pPr>
      <w:r>
        <w:t>Regeste</w:t>
      </w:r>
    </w:p>
    <w:p>
      <w:r>
        <w:t>reconnaissance de dette | Droit des obligations (en général)</w:t>
      </w:r>
    </w:p>
    <w:p>
      <w:pPr>
        <w:pStyle w:val="Heading2"/>
      </w:pPr>
      <w:r>
        <w:t>Erwägungen</w:t>
      </w:r>
    </w:p>
    <w:p>
      <w:r>
        <w:rPr>
          <w:b/>
        </w:rPr>
        <w:t>E. 1.1</w:t>
      </w:r>
    </w:p>
    <w:p>
      <w:r>
        <w:t>Interjeté par la partie qui a succombé dans ses conclusions tendant au paiement en capital de 38'910 fr.50 ( art. 76 al. 1 LTF ) et dirigé contre un jugement final ( art. 90 LTF ) rendu en matière civile ( art. 72 al. 1 LTF ) par une autorité cantonale de dernière instance ( art. 75 LTF ) dans une affaire pécuniaire dont la valeur litigieuse atteint le seuil de 15'000 fr. requis en matière de droit du travail ( art. 74 al. 1 let. a LTF ), le recours est en principe recevable, puisqu'il a été déposé dans le délai (art. 45 al. 1, 48 al. 1 et 100 al. 1 LTF) et la forme ( art. 42 LTF ) prévus par la loi. On peut certes observer que la cour cantonale n'a pas statué sur recours comme le requiert l' art. 75 al. 2 LTF , mais cette situation reste sans conséquence puisque les cantons disposent encore d'un délai d'adaptation ( art. 130 al. 2 LTF ).</w:t>
      </w:r>
    </w:p>
    <w:p>
      <w:r>
        <w:rPr>
          <w:b/>
        </w:rPr>
        <w:t>E. 1.2</w:t>
      </w:r>
    </w:p>
    <w:p>
      <w:r>
        <w:t>Le recours peut être interjeté pour violation du droit, tel qu'il est délimité par les art. 95 et 96 LTF . En conséquence, il peut aussi être formé pour violation d'un droit constitutionnel ( ATF 135 III 670 consid. 1.4 p. 674; 134 III 379 consid. 1.2 p. 382 s.).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 Une rectification de l'état de fait ne peut être demandée que si elle est de nature à influer sur l'issue de la cause ( art. 97 al. 1 LTF ). Aucun fait nouveau ni preuve nouvelle ne peut être présenté à moins de résulter de la décision de l'autorité précédente ( art. 99 al. 1 LTF ). En l'espèce, la recourante présente sur de nombreuses pages (p. 2 à 6 du recours) sa propre version des faits, sans invoquer aucune des circonstances qui permettraient au Tribunal fédéral de s'écarter des constatations cantonales (art. 97 al. 1 et 105 al. 2 LTF), de sorte qu'il n'y a pas lieu d'en tenir compte.</w:t>
      </w:r>
    </w:p>
    <w:p>
      <w:r>
        <w:rPr>
          <w:b/>
        </w:rPr>
        <w:t>E. 1.4</w:t>
      </w:r>
    </w:p>
    <w:p>
      <w:r>
        <w:t>Le Tribunal fédéral ne peut aller au-delà des conclusions des parties ( art. 107 al. 1 LTF ). Toute conclusion nouvelle est irrecevable ( art. 99 al. 2 LTF ).</w:t>
      </w:r>
    </w:p>
    <w:p>
      <w:r>
        <w:rPr>
          <w:b/>
        </w:rPr>
        <w:t>E. 2.1</w:t>
      </w:r>
    </w:p>
    <w:p>
      <w:r>
        <w:t>La seule question qui reste litigieuse devant le Tribunal fédéral est de savoir si, au moment où l'antiquaire a cédé la propriété du meuble à son amie, les parties sont convenues que cette cession soldait les créances en salaire de l'amie ou impliquait seulement que la contre-valeur du meuble devait être imputée sur le solde dû. Le moment où un accord est intervenu sur le transfert en pleine propriété n'a pas été établi avec exactitude. Il est en tout cas postérieur à la lettre du 15 février 2000 et aux poursuites qui ont eu lieu au début de l'année 2002, puisque l'on ne parlait alors que d'un droit de gage. Il n'est pas allégué que l'amie aurait travaillé pour l'antiquaire après mai 2001. La cession en pleine propriété du meuble est donc intervenue longtemps après la fin du rapport de travail, de sorte que l' art. 341 al. 1 CO ne pourrait pas rendre nulle une renonciation de l'employée à une partie de son salaire.</w:t>
      </w:r>
    </w:p>
    <w:p>
      <w:r>
        <w:rPr>
          <w:b/>
        </w:rPr>
        <w:t>E. 2.2</w:t>
      </w:r>
    </w:p>
    <w:p>
      <w:r>
        <w:t>Il y a dation en paiement (datio in solutum), lorsqu'un créancier et un débiteur conviennent d'une prestation différente de celle qui était due, en prévoyant que le débiteur, en fournissant cette prestation, se libère de l'obligation initiale (sur cette notion: Von Tuhr/Escher, Allgemeiner Teil des Schweizerischen Obligationenrechts, Bd II, 3e éd. 1974, § 56 p. 11 s.; Ingeborg Schwenzer, Schweizerisches Obligationenrecht, Allgemeiner Teil, 5e éd. 2009, n° 74.01 ss; Pierre Engel, Traité des obligations en droit suisse, 2e éd. 1997, p. 619). Il y a dation en vue du paiement (datio solvendi causa) lorsque le créancier reçoit une autre prestation que celle qui était due, afin de la réaliser en vue de se satisfaire et d'imputer la contre-valeur de ce qu'il a reçu sur la dette initiale, qui est éteinte que dans la mesure où le créancier est désintéressé (sur cette figure juridique: Von Tuhr/Escher, op. cit., § 56 p. 13; Schwenzer, op. cit., n° 74.05 ss; Engel, op. cit., p. 620). Dans le doute, il faut présumer une dation en vue du paiement, et non pas une dation à titre de paiement ( ATF 119 II 227 consid. 1 et 2 p. 229 ss). La cour cantonale n'a manifestement pas méconnu la distinction entre ces deux notions juridiques. C'est à tort que la recourante invoque ici l' art. 172 CO , parce que cette disposition - comme le montre le contexte dans lequel elle se situe - ne concerne que l'hypothèse d'une cession de créance, et non pas d'un objet (Thomas Probst, in Commentaire romand, CO I, n° 1 ad art. 172 CO ). La cour cantonale n'a donc pas violé cette disposition, puisque celle-ci n'est pas applicable ici.</w:t>
      </w:r>
    </w:p>
    <w:p>
      <w:r>
        <w:rPr>
          <w:b/>
        </w:rPr>
        <w:t>E. 2.3</w:t>
      </w:r>
    </w:p>
    <w:p>
      <w:r>
        <w:t>Le litige porte en définitive sur l'interprétation des manifestations de volonté. Il faut en effet déterminer si, au moment où l'antiquaire a cédé la propriété du meuble à son amie, les parties étaient convenues que cette cession intervenait à titre de paiement ou en vue du paiement.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al. 1 LTF ;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 ATF 136 III 186 consid. 3.2.1 p. 188);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 ATF 135 III 410 consid. 3.2 p. 413; 132 III 268 consid. 2.3.2 p. 275, 626 consid. 3.1 p. 632). Le juge doit donc toujours s'efforcer d'abord de rechercher, en examinant les preuves apportées, s'il peut déterminer une volonté réelle commune; cette question relève exclusivement de l'appréciation des preuves et de l'établissement des faits; si le juge y parvient, il n'y a plus de place pour une interprétation selon le principe de la confiance, qui ne revêt qu'un caractère subsidiaire ( ATF 132 III 626 consid. 3.1 p. 632). Pour déterminer la volonté réelle des parties, le juge peut - contrairement à ce que semble penser la recourante - tenir compte du comportement que les parties ont adopté après la conclusion de leur accord ( ATF 132 III 626 consid. 3.1 p. 632; en détail: ATF 107 II 417 consid. 6 p. 418). Si le juge est convaincu d'avoir déterminé la réelle et commune intention des parties, il n'y a plus de place pour l'application des règles sur le fardeau de la preuve ou sur les présomptions (cf. ATF 132 III 626 consid. 3.4 p. 634).</w:t>
      </w:r>
    </w:p>
    <w:p>
      <w:r>
        <w:rPr>
          <w:b/>
        </w:rPr>
        <w:t>E. 2.4</w:t>
      </w:r>
    </w:p>
    <w:p>
      <w:r>
        <w:t>En l'espèce, la cour cantonale, procédant à une appréciation des preuves et tenant compte notamment du comportement postérieur des parties, est parvenue à la conviction que la volonté réelle et concordante des parties était de conclure une dation en paiement, et non pas une dation en vue du paiement. En accordant la priorité à l'interprétation subjective, la cour cantonale n'a pas violé l' art. 18 CO . Dire si la cour cantonale a correctement établi la volonté réelle des parties n'est pas une question de droit, mais d'appréciation des preuves; le Tribunal fédéral ne peut donc l'examiner que sous l'angle restreint de l'arbitraire ( art. 9 Cst. ; sur la notion d'arbitraire dans l'appréciation des preuves: cf. ATF 129 I 8 consid. 2.1 p. 9). On peut se demander s'il y a lieu d'entrer en matière plus avant, puisque la recourante n'invoque même pas la notion d'arbitraire ( art. 106 al. 2 LTF ). Quoi qu'il en soit, son argumentation est impropre à démontrer l'arbitraire. Lorsque l'antiquaire a fait l'objet de poursuites au début de l'année 2002, la recourante ne l'a pas poursuivi pour un arriéré de salaire, mais elle s'est bornée à faire valoir ses droits sur le meuble, montrant par là qu'il constituait bien l'objet de ses visées. Lorsque le stock de l'antiquaire a été réalisé, la recourante a demandé à pouvoir vendre le meuble à son profit, ce qui lui a été accordé. Alors même que l'antiquaire disposait, à la suite de la réalisation du stock, de ressources suffisantes, elle ne lui a pas réclamé un solde de salaire et il n'a pas davantage envisagé de le lui payer. L'avocat de la recourante a considéré que la cession du meuble avait liquidé la question. Le conseil légal chargé de la réalisation des biens pensait avoir payé toutes les dettes et ni l'antiquaire ni son amie ne lui ont parlé d'un reliquat de salaire. Ce n'est que beaucoup plus tard qu'une prétention a été formulée par l'entremise du fils de la recourante. Au vu de l'ensemble de ces circonstances, on ne peut pas dire que la cour cantonale soit tombée dans l'arbitraire en déduisant de l'attitude des parties que la remise en propriété du meuble soldait la question du reliquat de salaire. La recourante fait certes valoir qu'au moment de la cession du meuble, l'antiquaire ne lui a pas demandé la restitution de la reconnaissance de dette. On ne peut cependant rien en déduire en faveur de l'une des deux thèses en présence (dation en paiement ou dation en vue du paiement), puisqu'il aurait été aussi logique, en cas de dation en vue du paiement, que l'antiquaire exige que la valeur de revente du meuble soit portée en déduction sur la reconnaissance de dette. Ainsi, le recours doit être rejeté.</w:t>
      </w:r>
    </w:p>
    <w:p>
      <w:r>
        <w:rPr>
          <w:b/>
        </w:rPr>
        <w:t>E. 3</w:t>
      </w:r>
    </w:p>
    <w:p>
      <w:r>
        <w:t>Les frais judiciaires sont mis à la charge de la recourante qui succombe ( art. 66 al. 1 LTF ). Il n'y a pas lieu d'allouer des dépens aux intimés, qui ne sont pas intervenus dans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