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4A_404/2012 vom 15. Oktober 2012</w:t>
      </w:r>
    </w:p>
    <w:p>
      <w:r>
        <w:t>Bundesgericht, 2012-10-15, DE</w:t>
      </w:r>
    </w:p>
    <w:p>
      <w:r>
        <w:rPr>
          <w:b/>
        </w:rPr>
        <w:t xml:space="preserve">Quelle: </w:t>
      </w:r>
      <w:r>
        <w:t>https://mcp.opencaselaw.ch/entscheid/bger_4A_404_2012</w:t>
      </w:r>
    </w:p>
    <w:p>
      <w:r>
        <w:t>FR: TF 4A_404/2012 du 15 octobre 2012</w:t>
      </w:r>
    </w:p>
    <w:p>
      <w:r>
        <w:t>IT: TF 4A_404/2012 del 15 ottobre 2012</w:t>
      </w:r>
    </w:p>
    <w:p>
      <w:pPr>
        <w:pStyle w:val="Heading2"/>
      </w:pPr>
      <w:r>
        <w:t>Erwägungen</w:t>
      </w:r>
    </w:p>
    <w:p>
      <w:r>
        <w:rPr>
          <w:b/>
        </w:rPr>
        <w:t>E. 1</w:t>
      </w:r>
    </w:p>
    <w:p>
      <w:r>
        <w:t>Der angefochtene Entscheid beendet weder das Verfahren für eine Prozesspartei, noch beurteilt er einen Teil der Begehren abschliessend. Auch über die Auskunftsbegehren, welche die Vorinstanz als Teil einer Stufenklage interpretiert, ist noch nicht entschieden. Der angefochtene Entscheid erweist sich damit, unabhängig davon, ob die Klage als Stufenklage anzusehen ist, als Zwischenentscheid, der nicht die Zuständigkeit oder ein Ausstandsbegehren betrifft (vgl. Art. 92 BGG ).</w:t>
      </w:r>
    </w:p>
    <w:p>
      <w:r>
        <w:rPr>
          <w:b/>
        </w:rPr>
        <w:t>E. 1.1</w:t>
      </w:r>
    </w:p>
    <w:p>
      <w:r>
        <w:t>Damit ist die Beschwerde nur zulässig, wenn eine der folgenden Voraussetzungen erfüllt ist: Erstens, wenn der Entscheid einen nicht wieder gutzumachenden Nachteil bewirken kann ( Art. 93 Abs. 1 lit. a BGG ), wobei der mögliche Nachteil nach der Rechtsprechung des Bundesgerichts rechtlicher Natur sein muss, also auch durch einen für den Beschwerdeführer günstigen Endentscheid des Bundesgerichts nicht mehr behoben werden könnte ( BGE 138 III 46 E. 1.2 S. 47; 137 III 380 E. 1.2.1 S. 382). Zweitens, wenn die Gutheissung der Beschwerde sofort einen Endentscheid herbeiführen und damit einen bedeutenden Aufwand an Zeit und Kosten für ein weitläufiges Beweisverfahren ersparen würde ( Art. 93 Abs. 1 lit. b BGG ). Die selbständige Anfechtbarkeit von Zwischenentscheiden bildet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BGE 133 IV 288 E. 3.2 S. 292 mit Hinweis).</w:t>
      </w:r>
    </w:p>
    <w:p>
      <w:r>
        <w:rPr>
          <w:b/>
        </w:rPr>
        <w:t>E. 1.2</w:t>
      </w:r>
    </w:p>
    <w:p>
      <w:r>
        <w:t>Die Beschwerdeführerin macht geltend, die Vorinstanz habe dem Arbeitsgericht über die Rückweisung zur Neubeurteilung hinaus Weisungen dazu erteilt, wie weiter zu verfahren sei, dessen Beurteilungsspielraum eingeschränkt und insbesondere festgelegt, was Prozessgegenstand sei. Darin erblickt die Beschwerdeführerin einen nicht wieder gutzumachenden Nachteil ( Art. 93 Abs. 1 lit. a BGG ). Inwiefern ein nicht wieder gutzumachender Nachteil drohen könnte, ist aber nicht ersichtlich. Dass die obere Instanz der unteren im Rückweisungsentscheid Anweisungen für das weitere Verfahren gibt, ist nicht aussergewöhnlich und führt nicht zu einem rechtlichen Nachteil, da der Rückweisungsentscheid zusammen mit dem Endentscheid angefochten werden kann, soweit er sich darauf auswirkt. Nur wenn der unteren Instanz überhaupt kein Entscheidungsspielraum mehr verbleibt und die Rückweisung nur noch der (rechnerischen) Umsetzung des oberinstanzlich Angeordneten dient, kann sich die Frage stellen, ob die Anfechtung zuzulassen sei ( BGE 134 II 124 E. 1.3 S. 127). Davon kann hier aber nicht die Rede sein. Aufgrund des vorinstanzlichen Entscheides steht noch nicht fest, ob überhaupt ein Anspruch auf Beteiligung am "Carried Interest Pool" und damit eine Pflicht zur Abrechnung besteht.</w:t>
      </w:r>
    </w:p>
    <w:p>
      <w:r>
        <w:rPr>
          <w:b/>
        </w:rPr>
        <w:t>E. 1.3</w:t>
      </w:r>
    </w:p>
    <w:p>
      <w:r>
        <w:t>Die Beschwerdeführerin ist sodann der Auffassung, das Bundesgericht könne, sollte es ihrer Rechtsauffassung folgen und die Klage als nicht hinreichend substanziiert betrachten, einen verfahrensabschliessenden Endentscheid herbeiführen ( Art. 93 Abs. 1 lit. b BGG ).</w:t>
      </w:r>
    </w:p>
    <w:p>
      <w:r>
        <w:rPr>
          <w:b/>
        </w:rPr>
        <w:t>E. 1.3.1</w:t>
      </w:r>
    </w:p>
    <w:p>
      <w:r>
        <w:t>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Wenn er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(vgl. BGE 138 III 46 E. 1.2 S. 47). Andernfalls hat der Beschwerdeführer im Einzelnen darzutun, welche Tatfragen offen sind und welche weitläufigen Beweiserhebungen in welchem zeit- und kostenmässigen Umfang erforderlich sind ( BGE 137 III 324 E. 1.1 S. 329 mit Hinweisen). Zudem hat er unter Aktenhinweis darzulegen, dass er die betreffenden Beweise im kantonalen Verfahren bereits angerufen oder entsprechende Anträge in Aussicht gestellt hat ( BGE 133 III 629 E. 2.4.2 S. 633 mit Hinweisen).</w:t>
      </w:r>
    </w:p>
    <w:p>
      <w:r>
        <w:rPr>
          <w:b/>
        </w:rPr>
        <w:t>E. 1.3.2</w:t>
      </w:r>
    </w:p>
    <w:p>
      <w:r>
        <w:t>Dass das Bundesgericht, sollte es die Rechtsauffassung der Beschwerdeführerin teilen, einen Endentscheid fällen könnte, trifft wohl zu. Inwiefern dies aber einen bedeutenden Aufwand an Zeit und Kosten für ein weitläufiges Beweisverfahren ersparen würde, tut die Beschwerdeführerin nicht dar und ist nicht ersichtlich. Im angefochtenen Entscheid wird lediglich festgehalten, Beweiserhebungen seien nicht ausgeschlossen. Dass sie notwendig und zeit- und kostenaufwändig wären, ergibt sich daraus nicht.</w:t>
      </w:r>
    </w:p>
    <w:p>
      <w:r>
        <w:rPr>
          <w:b/>
        </w:rPr>
        <w:t>E. 2</w:t>
      </w:r>
    </w:p>
    <w:p>
      <w:r>
        <w:t>Die Beschwerdeführerin zeigt in der Beschwerdeschrift nicht hinreichend auf, dass die Voraussetzungen für die Anfechtung eines Zwischenentscheides gegeben wären. Auf die Beschwerde ist daher nicht einzutreten.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