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4A_403/2016 vom 18. April 2017</w:t>
      </w:r>
    </w:p>
    <w:p>
      <w:r>
        <w:t>Bundesgericht, 2017-04-18, FR</w:t>
      </w:r>
    </w:p>
    <w:p>
      <w:r>
        <w:rPr>
          <w:b/>
        </w:rPr>
        <w:t xml:space="preserve">Quelle: </w:t>
      </w:r>
      <w:r>
        <w:t>https://mcp.opencaselaw.ch/entscheid/bger_4A_403_2016</w:t>
      </w:r>
    </w:p>
    <w:p>
      <w:r>
        <w:t>FR: TF 4A_403/2016 du 18 avril 2017</w:t>
      </w:r>
    </w:p>
    <w:p>
      <w:r>
        <w:t>IT: TF 4A_403/2016 del 18 aprile 2017</w:t>
      </w:r>
    </w:p>
    <w:p>
      <w:pPr>
        <w:pStyle w:val="Heading2"/>
      </w:pPr>
      <w:r>
        <w:t>Erwägungen</w:t>
      </w:r>
    </w:p>
    <w:p>
      <w:r>
        <w:rPr>
          <w:b/>
        </w:rPr>
        <w:t>E. 1.1</w:t>
      </w:r>
    </w:p>
    <w:p>
      <w:r>
        <w:t>Le présent recours satisfait sur le principe aux conditions de recevabilité du recours en matière civile, notamment quant à l'exigence d'une valeur litigieuse minimale de 30'000 fr. ( art. 74 al. 1 let. b LTF ).</w:t>
      </w:r>
    </w:p>
    <w:p>
      <w:r>
        <w:rPr>
          <w:b/>
        </w:rPr>
        <w:t>E. 1.2</w:t>
      </w:r>
    </w:p>
    <w:p>
      <w:r>
        <w:t>Les recourants font valoir qu'ils ont succédé à feu X.________ dans la présente cause.</w:t>
      </w:r>
    </w:p>
    <w:p>
      <w:r>
        <w:rPr>
          <w:b/>
        </w:rPr>
        <w:t>E. 1.2.1</w:t>
      </w:r>
    </w:p>
    <w:p>
      <w:r>
        <w:t>En vertu de l' art. 560 al. 1 CC , les héritiers acquièrent de plein droit l'universalité de la succession dès l'ouverture de celle-ci, à moins qu'ils ne la répudient (cf. art. 566 ss CC ). Ils succèdent ipso iure au défunt dans les rapports juridiques qui ne sont pas indissociables de la personne du défunt, soit notamment dans les rapports relevant du droit des obligations, qui sont en principe transmissibles héréditairement ( ATF 112 II 300 consid. 4b p. 305; 141 V 170 consid. 4.3). Ils prennent également de plein droit la place du défunt au procès lorsque celui-ci ne porte pas sur un droit strictement personnel (cf. art. 17 al. 3 PCF , par renvoi de l' art. 71 LTF ; arrêt 4A_179/2015 du 16 décembre 2015 consid. 1.2).</w:t>
      </w:r>
    </w:p>
    <w:p>
      <w:r>
        <w:t>En droit neuchâtelois, le notaire est compétent pour établir le certificat d'hérédité en la forme authentique ( art. 9 al. 1 let . d de la loi concernant l'introduction du code civil suisse [LI-CC], RSN 211.1; art. 37 et 39 de la loi sur le traitement des actes à cause de mort et actes similaires [LACDM], RSN 214.10).</w:t>
      </w:r>
    </w:p>
    <w:p>
      <w:r>
        <w:rPr>
          <w:b/>
        </w:rPr>
        <w:t>E. 1.2.2</w:t>
      </w:r>
    </w:p>
    <w:p>
      <w:r>
        <w:t>Les recourants ont produit un acte notarié qui atteste de leur qualité d'héritiers, respectivement en tant qu'épouse et fils de X.________ décédé le... février 2016. L'avocat qui les représente, qui est aussi le notaire ayant établi l'acte précité, affirme que tous les héritiers ont accepté la succession. Le délai de répudiation de trois mois est manifestement écoulé. Enfin, la partie adverse n'a fait aucun commentaire.</w:t>
      </w:r>
    </w:p>
    <w:p>
      <w:r>
        <w:t>Dans ces circonstances, il est pris acte du fait que A.X.________, B.X.________ et C.X.________ ont succédé dans la procédure à X.________.</w:t>
      </w:r>
    </w:p>
    <w:p>
      <w:r>
        <w:rPr>
          <w:b/>
        </w:rPr>
        <w:t>E. 2.1</w:t>
      </w:r>
    </w:p>
    <w:p>
      <w:r>
        <w:t>Le recours peut être interjeté pour violation du droit tel qu'il est délimité par les art. 95 et 96 LTF . Le Tribunal fédéral applique le droit d'office ( art. 106 al. 1 LTF ). Eu égard, cependant, à l'exigence de motivation contenue à l' art. 42 al. 1 et 2 LTF , il n'examine d'ordinaire que les griefs invoqués, sous réserve d'erreurs manifestes ( ATF 140 III 115 consid. 2 p. 116). Par ailleurs, il ne peut entrer en matière sur la violation d'un droit constitutionnel que si le moyen a été expressément soulevé et motivé de manière précise par la partie recourante ( art. 106 al. 2 LTF ; ATF 135 III 232 consid. 1.2; 134 II 244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rPr>
          <w:b/>
        </w:rPr>
        <w:t>E. 3.1</w:t>
      </w:r>
    </w:p>
    <w:p>
      <w:r>
        <w:t>Les recourants dénoncent une violation des art. 97 et 398 CO , respectivement de l' art. 11 LBVM (loi fédérale sur les bourses et le commerce des valeurs mobilières, RS 954.1). L'autorité précédente aurait enfreint le droit fédéral en refusant de retenir que la banque avait contrevenu à son devoir d'information et que cette violation était en lien de causalité avec le dommage subi.</w:t>
      </w:r>
    </w:p>
    <w:p>
      <w:r>
        <w:rPr>
          <w:b/>
        </w:rPr>
        <w:t>E. 3.2</w:t>
      </w:r>
    </w:p>
    <w:p>
      <w:r>
        <w:t>La responsabilité contractuelle est engagée lorsque le cocontractant a violé ses obligations contractuelles de manière fautive et qu'il s'en est suivi un dommage, ce qui implique d'établir un lien de causalité naturelle et adéquate entre ledit manquement et le dommage (cf. art. 97 al. 1 CO ; ATF 132 III 379 consid. 3.1; sur les notions de causalité naturelle et adéquate, cf. par ex. ATF 139 V 176 consid. 8.4).</w:t>
      </w:r>
    </w:p>
    <w:p>
      <w:r>
        <w:t>Lorsque le manquement reproché est une omission, l'examen du lien de causalité revient à se demander si le dommage serait aussi survenu dans l'hypothèse où l'acte omis aurait été accompli. Les constatations de fait et le jugement de valeur sont imbriqués en ce sens que pour reconstituer le cours hypothétique des événements, il faut se fonder sur l'expérience générale de la vie et émettre un jugement de valeur. Aussi l'autorité de céans a-t-elle coutume de préciser qu'elle est liée, au sens de l' art. 105 al. 1 LTF , par les constatations concernant la causalité hypothétique lorsqu'elles reposent sur des faits ressortant de l'appréciation des preuves; en revanche, si la causalité hypothétique est déduite exclusivement de l'expérience de la vie, elle revoit librement cette question de droit ( ATF 132 III 305 consid. 3.5; 115 II 440 consid. 5a; arrêts 4A_543/2016 du 1er novembre 2016 consid. 3.2.3 et 4A_588/2011 du 3 mai 2012 consid. 2.2.2).</w:t>
      </w:r>
    </w:p>
    <w:p>
      <w:r>
        <w:t>En matière de causalité hypothétique, la jurisprudence se contente du degré de la vraisemblance prépondérante ( ATF 132 III 715 consid. 3.2 p. 720; 124 III 155 consid. 3d p. 165).</w:t>
      </w:r>
    </w:p>
    <w:p>
      <w:r>
        <w:rPr>
          <w:b/>
        </w:rPr>
        <w:t>E. 3.3</w:t>
      </w:r>
    </w:p>
    <w:p>
      <w:r>
        <w:t>Dans une affaire qui concernait également un placement dans un produit à capital protégé du groupe Lehman Brothers, la cliente, qui se qualifiait d'investisseuse avertie, s'était plainte de ce que la banque avait omis de l'informer quant à l'identité de l'émetteur.</w:t>
      </w:r>
    </w:p>
    <w:p>
      <w:r>
        <w:t>La cour de céans, en se fondant notamment sur un rapport du 2 mars 2010 établi par l'Autorité fédérale de surveillance des marchés financiers FINMA, a jugé que la banque n'avait pas à attirer l'attention de la cliente sur la personne de l'émetteur, comme il n'apparaissait pas que les agences de cotation et la presse spécialisée auraient émis des réserves quant à la solvabilité de l'émetteur (arrêt 4A_624/2012 du 16 avril 2013 consid. 2.2.2).</w:t>
      </w:r>
    </w:p>
    <w:p>
      <w:r>
        <w:rPr>
          <w:b/>
        </w:rPr>
        <w:t>E. 3.4</w:t>
      </w:r>
    </w:p>
    <w:p>
      <w:r>
        <w:t>Dans le présent cas, la banque a conseillé aux clients des produits «à capital garanti», la proposition écrite remise à ceux-ci mentionnant une «protection 100%». La banque n'a pas informé les clients du risque de perte totale du placement lié à une faillite de l'émetteur des titres. La cour cantonale devait dès lors définir quel aurait été le cours des événements dans l'hypothèse où la banque aurait discuté de ce risque avec les clients.</w:t>
      </w:r>
    </w:p>
    <w:p>
      <w:r>
        <w:t>Au préalable, la cour a fait les constatations suivantes:</w:t>
      </w:r>
    </w:p>
    <w:p>
      <w:r>
        <w:t>- A l'époque, tous les experts financiers croyaient que Lehman Brothers était un établissement solide et de bonne renommée, de sorte que le risque lié à l'émetteur n'était que théorique et infime.</w:t>
      </w:r>
    </w:p>
    <w:p>
      <w:r>
        <w:t>- Dans son rapport du 2 mars 2010, la FINMA expliquait que jusqu'à sa mise en faillite, le groupe Lehman Brothers bénéficiait d'une bonne solvabilité; il était noté A2 par l'agence Moodys - et même mieux au moment de l'investissement, ajoutait la cour cantonale. Ce même rapport retenait aussi que les produits structurés à capital protégé sont adaptés pour une distribution à la clientèle de détail et qu'en termes de risque d'émetteur, ils sont comparables à des obligations de caisse ou des obligations ordinaires.</w:t>
      </w:r>
    </w:p>
    <w:p>
      <w:r>
        <w:t>La cour cantonale a conclu que si la discussion s'était ouverte entre les clients et le conseiller en placement au sujet du risque lié à l'émetteur, les clients n'auraient pas été dissuadés d'acquérir un produit structuré comme ils le souhaitaient.</w:t>
      </w:r>
    </w:p>
    <w:p>
      <w:r>
        <w:rPr>
          <w:b/>
        </w:rPr>
        <w:t>E. 3.5</w:t>
      </w:r>
    </w:p>
    <w:p>
      <w:r>
        <w:t>L'autorité précédente a déterminé le comportement hypothétique des clients en se fondant sur les informations dont disposaient alors les milieux spécialisés quant à l'émetteur. On peut admettre qu'un tel pronostic repose essentiellement sur l'expérience générale, sur la réaction normale qu'aurait un investisseur ordinaire. Il faut en inférer que la cour de céans revoit librement la question du cours hypothétique des événements. En revanche, elle est liée, au sens de l' art. 105 al. 1 LTF , par les constatations de fait concernant les circonstances dans lesquelles les parties ont agi.</w:t>
      </w:r>
    </w:p>
    <w:p>
      <w:r>
        <w:rPr>
          <w:b/>
        </w:rPr>
        <w:t>E. 3.6</w:t>
      </w:r>
    </w:p>
    <w:p>
      <w:r>
        <w:t>Les recourants plaident qu'ils croyaient effectuer un placement sûr auprès d'une banque de proximité alors qu'il s'agissait d'un produit hautement spéculatif d'une banque américaine; s'ils avaient eu connaissance de ce fait, ils n'auraient pas effectué le placement.</w:t>
      </w:r>
    </w:p>
    <w:p>
      <w:r>
        <w:t>Les recourants ne remettent pas en cause les constatations concernant la bonne renommée de Lehman Brothers, qui était supposée avoir une bonne solvabilité et qui bénéficiait d'une bonne cotation. La FINMA a au demeurant relevé dans son rapport précité publié sur Internet qu'à l'époque, il était indifférent que l'émetteur du produit soit Lehman Brothers, une grande banque suisse, Goldman Sachs, la Deutsche Bank ou la BNP; l'élément décisif était bien davantage la disponibilité, au moment souhaité, d'un produit à capital protégé sur le marché primaire (cf. arrêt précité 4A_624/2012 consid. 2.2.2; rapport p. 18, accessible à l'adresse Internet https://www.finma.ch/fr/news/2010/03/mm-lehman-madoff-20100302).</w:t>
      </w:r>
    </w:p>
    <w:p>
      <w:r>
        <w:t>Il en découle que sous l'angle du risque encouru, le fait que l'émetteur du produit soit un groupe bancaire américain plutôt qu'une grande banque suisse n'avait pas d'incidence dans la prise de décision. Les recourants ne prétendent pas qu'ils auraient eu d'autres réticences que celle du risque quant au choix d'un produit émanant d'un groupe américain. De toute façon, ils ne remettent pas valablement en cause le fait que le risque quant à l'émetteur du produit n'était que théorique et infime. Or, en se fondant sur cette constatation et l'expérience générale de la vie, les juges cantonaux pouvaient légitimement en conclure que les clients auraient maintenu leur décision de placement s'ils avaient discuté avec leur conseiller du risque concernant l'émetteur. Qu'ils aient été novices en matière de placements financiers, comme ils le soutiennent, n'est pas de nature à modifier cette analyse.</w:t>
      </w:r>
    </w:p>
    <w:p>
      <w:r>
        <w:rPr>
          <w:b/>
        </w:rPr>
        <w:t>E. 3.7</w:t>
      </w:r>
    </w:p>
    <w:p>
      <w:r>
        <w:t>La cour cantonale a également exclu une responsabilité de la banque pour avoir laissé investir quelque 400'000 fr. sur un seul produit et pour avoir rassuré les clients au début de l'année 2008 plutôt que de leur conseiller une revente des titres. Les recourants ne développent aucune argumentation sur ces points et ne contestent pas les faits sur lesquels la cour a fondé son analyse. Il n'y a dès lors pas à rediscuter ces aspects (cf. supra consid. 2.1).</w:t>
      </w:r>
    </w:p>
    <w:p>
      <w:r>
        <w:rPr>
          <w:b/>
        </w:rPr>
        <w:t>E. 3.8</w:t>
      </w:r>
    </w:p>
    <w:p>
      <w:r>
        <w:t>En bref, la cour cantonale n'a pas enfreint le droit fédéral en excluant un rapport de causalité entre l'omission de la banque d'aborder la question du risque de l'émetteur et la perte subie sur les titres consécutivement à la faillite de Lehman Brothers. Point n'est besoin, dès lors, d'examiner les autres griefs du recours, qui ont trait essentiellement au devoir d'information.</w:t>
      </w:r>
    </w:p>
    <w:p>
      <w:r>
        <w:rPr>
          <w:b/>
        </w:rPr>
        <w:t>E. 4</w:t>
      </w:r>
    </w:p>
    <w:p>
      <w:r>
        <w:t>Le recours doit ainsi être rejeté.</w:t>
      </w:r>
    </w:p>
    <w:p>
      <w:r>
        <w:t>Les recourants, qui succombent, doivent supporter solidairement les frais de la présente procédure ( art. 66 al. 1 et 5 LTF ). Ils sont en outre condamnés solidairement à verser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