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402/2011 vom 19. Dezember 2011</w:t>
      </w:r>
    </w:p>
    <w:p>
      <w:r>
        <w:t>Bundesgericht, 2011-12-19, FR</w:t>
      </w:r>
    </w:p>
    <w:p>
      <w:r>
        <w:rPr>
          <w:b/>
        </w:rPr>
        <w:t xml:space="preserve">Quelle: </w:t>
      </w:r>
      <w:r>
        <w:t>https://mcp.opencaselaw.ch/entscheid/bger_4A_402_2011</w:t>
      </w:r>
    </w:p>
    <w:p>
      <w:r>
        <w:t>FR: TF 4A 402/2011 du 19 décembre 2011</w:t>
      </w:r>
    </w:p>
    <w:p>
      <w:r>
        <w:t>IT: TF 4A 402/2011 del 19 dicembre 2011</w:t>
      </w:r>
    </w:p>
    <w:p>
      <w:pPr>
        <w:pStyle w:val="Heading2"/>
      </w:pPr>
      <w:r>
        <w:t>Regeste</w:t>
      </w:r>
    </w:p>
    <w:p>
      <w:r>
        <w:t>responsabilité contractuelle de la banque | Droit des obligations (en général)</w:t>
      </w:r>
    </w:p>
    <w:p>
      <w:pPr>
        <w:pStyle w:val="Heading2"/>
      </w:pPr>
      <w:r>
        <w:t>Erwägungen</w:t>
      </w:r>
    </w:p>
    <w:p>
      <w:r>
        <w:rPr>
          <w:b/>
        </w:rPr>
        <w:t>E. 1</w:t>
      </w:r>
    </w:p>
    <w:p>
      <w:r>
        <w:t>Le Tribunal fédéral examine d'office la recevabilité des recours qui lui sont soumis ( ATF 134 III 115 consid. 1).</w:t>
      </w:r>
    </w:p>
    <w:p>
      <w:r>
        <w:rPr>
          <w:b/>
        </w:rPr>
        <w:t>E. 1.1</w:t>
      </w:r>
    </w:p>
    <w:p>
      <w:r>
        <w:t>Les mémoires de recours doivent indiquer les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Ces conclusions doivent être déterminées avec suffisamment de précision; ainsi, celles qui portent sur une somme d'argent doivent être chiffrées.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235 consid. 2; 133 III 489 consid. 3.1 et 3.2). Ces indications doivent figurer dans l'acte de recours ou un éventuel complément déposé avant l'échéance du délai de recours ( art. 42 al. 1 LTF ); sur ces points, le recours ne peut pas être complété ultérieurement ( art. 42 al. 5 et 6 LTF e contrario; ATF 134 II 244 consid. 2.4.2).</w:t>
      </w:r>
    </w:p>
    <w:p>
      <w:r>
        <w:rPr>
          <w:b/>
        </w:rPr>
        <w:t>E. 1.2</w:t>
      </w:r>
    </w:p>
    <w:p>
      <w:r>
        <w:t>Dans son mémoire de recours, le recourant n'a pas pris de conclusions au fond. Il ne s'explique pas sur cette abstention, et on ne discerne aucun motif qui l'aurait empêché de prendre des conclusions chiffrées. Dans sa troisième écriture, le recourant soutient que les sommes réclamées ressortent de la motivation du recours. Il se réfère à la valeur litigieuse qu'il indique dans les remarques liminaires sur la recevabilité du recours. Or, la valeur litigieuse est déterminée par les conclusions sur lesquelles l'autorité précédente s'est prononcée ( art. 51 al. 1 let. a LTF ) et ne correspond pas nécessairement au montant encore en jeu dans la procédure devant le Tribunal fédéral (cf. ATF 137 III 47 consid. 1.2.2). Le recourant se réfère en outre à l'arrêt attaqué d'où les montants litigieux en procédure cantonale ressortent également. Mais tout cela n'est pas déterminant, car il n'existe pas de présomption selon laquelle le recourant qui ne précise pas ses conclusions serait censé reprendre celles formulées devant l'instance précédente.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en particulier lorsque le litige porte sur le paiement d'une somme d'argent.</w:t>
      </w:r>
    </w:p>
    <w:p>
      <w:r>
        <w:rPr>
          <w:b/>
        </w:rPr>
        <w:t>E. 1.3</w:t>
      </w:r>
    </w:p>
    <w:p>
      <w:r>
        <w:t>Dans son mémoire de recours, le recourant n'a pas démontré en quoi la cour de céans, si elle admettait le recours, serait empêchée de statuer ne serait-ce que sur l'une des trois conclusions prises devant l'autorité précédente; il ne dit mot à ce sujet. Or, à la lecture de l'arrêt attaqué, on ne saurait sans autre retenir qu'un renvoi s'imposerait nécessairement. On constate notamment que les montants des différents postes du dommage pour lequel réparation est demandée ne semblent pas être contestés en tant que tels. Dans son volumineux recours, le recourant se plaint essentiellement de violation du droit fédéral. Il n'apparaît pas d'emblée que ses moyens de droit seraient sans exception privés d'objet dans l'hypothèse où les griefs d'arbitraire sur des questions de procédure ou de faits devraient être rejetés; à première vue, on ne discerne pas quel élément empêcherait la cour de céans de réformer l'arrêt attaqué et statuer au fond. Au demeurant, le recourant ne saurait se dispenser de prendre des conclusions au fond pour le seul motif qu'il soulève le grief d'arbitraire dans l'établissement des faits et que l'admission d'un tel grief entraîne en principe un renvoi à l'autorité cantonale; une dispense se conçoit uniquement s'il est exclu que le Tribunal fédéral réforme le jugement au fond, et non pas s'il est possible qu'il doive éventuellement renvoyer la cause à l'instance cantonale, faculté qu'il peut au demeurant toujours utiliser (cf. art. 107 al. 2 LTF ). Dans sa troisième écriture, le recourant soutient que les motifs du recours font suffisamment ressortir que la cause ne pouvait qu'être renvoyée. Il ne saurait toutefois être exigé de la cour de céans qu'elle examine le bien-fondé du volumineux recours et détermine si un renvoi s'imposerait en cas d'admission du recours, cela dans le seul but de statuer sur la recevabilité du recours; au vu de la complexité de la présente cause, il eût appartenu au recourant de motiver spécifiquement et dans le délai de recours la nécessité d'un renvoi dès le moment où il ne voulait pas formuler des conclusions au fond.</w:t>
      </w:r>
    </w:p>
    <w:p>
      <w:r>
        <w:rPr>
          <w:b/>
        </w:rPr>
        <w:t>E. 2</w:t>
      </w:r>
    </w:p>
    <w:p>
      <w:r>
        <w:t>Il s'ensuit l'irrecevabilité du recours. Le recourant supporte les frais et dépens de la présente procédure ( art. 66 et 68 LTF ). L'émolument sera réduit au vu de la décision rendue; en revanche, tel ne sera pas le cas des dépens, car l'intimée ne pouvait pas prendre le risque de renoncer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