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4A_401/2015 vom 8. Januar 2016</w:t>
      </w:r>
    </w:p>
    <w:p>
      <w:r>
        <w:t>Bundesgericht, 2016-01-08, DE</w:t>
      </w:r>
    </w:p>
    <w:p>
      <w:r>
        <w:rPr>
          <w:b/>
        </w:rPr>
        <w:t xml:space="preserve">Quelle: </w:t>
      </w:r>
      <w:r>
        <w:t>https://mcp.opencaselaw.ch/entscheid/bger_4A_401_2015</w:t>
      </w:r>
    </w:p>
    <w:p>
      <w:r>
        <w:t>FR: TF 4A_401/2015 du 8 janvier 2016</w:t>
      </w:r>
    </w:p>
    <w:p>
      <w:r>
        <w:t>IT: TF 4A_401/2015 del 8 gennaio 2016</w:t>
      </w:r>
    </w:p>
    <w:p>
      <w:pPr>
        <w:pStyle w:val="Heading2"/>
      </w:pPr>
      <w:r>
        <w:t>Erwägungen</w:t>
      </w:r>
    </w:p>
    <w:p>
      <w:r>
        <w:rPr>
          <w:b/>
        </w:rPr>
        <w:t>E. 1</w:t>
      </w:r>
    </w:p>
    <w:p>
      <w:r>
        <w:t>Das angefochtene Urteil beendet mit der Abweisung der Klage das Verfahren ( Art. 90 BGG ); es hat eine Zivilstreitigkeit zum Gegenstand ( Art. 72 Abs. 1 BGG ) und ist von einem oberen kantonalen Gericht als Rechtsmittelinstanz erlassen worden ( Art. 75 BGG ). Die Beschwerdeführerin ist mit ihren Anträgen unterlegen ( Art. 76 Abs. 1 BGG ) und der Streitwert ist erreicht ( Art. 74 Abs. 1 lit. b BGG ). Auf die fristgerecht eingereichte Beschwerde (Art. 100 Abs. 1 in Verbindung mit Art. 46 Abs. 1 lit. b BGG ) ist unter Vorbehalt hinreichender Begründung ( Art. 42 Abs. 2 BGG ) einzutreten.</w:t>
      </w:r>
    </w:p>
    <w:p>
      <w:r>
        <w:rPr>
          <w:b/>
        </w:rPr>
        <w:t>E. 2</w:t>
      </w:r>
    </w:p>
    <w:p>
      <w:r>
        <w:t>Die Beschwerdeführerin stellt zu Recht nicht in Frage, dass die Vorinstanz den Vertrag, aus dessen angeblicher Verletzung sie ihre Forderung ableitet, als Werkvertrag qualifiziert hat. Sie rügt, dass die Ablieferung und Genehmigung des Werks bejaht wurde.</w:t>
      </w:r>
    </w:p>
    <w:p>
      <w:r>
        <w:rPr>
          <w:b/>
        </w:rPr>
        <w:t>E. 2.1</w:t>
      </w:r>
    </w:p>
    <w:p>
      <w:r>
        <w:t>Die Ablieferung und Abnahme des Werkes setzen dessen Vollendung voraus ( BGE 129 III 738 E. 7.2 S. 748). Abgeliefert wird es durch Übergabe oder durch die Mitteilung des Unternehmers, es sei vollendet. Eine Abnahme kann auch stillschweigend dadurch erfolgen, dass das Werk gemäss seinem Zweck gebraucht wird ( BGE 115 II 456 E. 4 S. 459 mit Verweis). Vollendet ist das Werk, wenn sämtliche vereinbarten Arbeiten - mit allfälligen Bestellungsänderungen - ausgeführt sind (GAUCH, Werkvertrag, 5. Aufl. 2011, N. 101 f. mit Hinweisen).</w:t>
      </w:r>
    </w:p>
    <w:p>
      <w:r>
        <w:rPr>
          <w:b/>
        </w:rPr>
        <w:t>E. 2.2</w:t>
      </w:r>
    </w:p>
    <w:p>
      <w:r>
        <w:t>Im vorliegenden Fall vereinbarten die Parteien nach den Feststellungen der Vorinstanz, welche die Beschwerdeführerin insoweit nicht in Frage stellt, die Erstellung eines Anhängers als Prototyp durch den Beschwerdegegner. Dieser Prototyp wurde vom Beschwerdegegner hergestellt und von der Beschwerdeführerin im Betrieb des Beschwerdegegners am 16. Dezember 1998 unter Vorbehalt der Kupplungsstärke gemäss Schreiben vom 17. Dezember 1998 abgenommen. Nachdem der Beschwerdegegner die Kupplung durch eine stärkere ersetzt und den Anhänger am 24. Dezember 1998 mit dieser verstärkten Kupplung abgeliefert hatte, liess die Motorfahrzeugkontrolle der Klägerin den Anhänger am 8. Januar 1999 rückwirkend per 24. Dezember 1998 als Strassenfahrzeug zu. Die Vorinstanz schliesst zutreffend, dass damit das vereinbarte Werk geliefert und abgenommen wurde.</w:t>
      </w:r>
    </w:p>
    <w:p>
      <w:r>
        <w:rPr>
          <w:b/>
        </w:rPr>
        <w:t>E. 2.3</w:t>
      </w:r>
    </w:p>
    <w:p>
      <w:r>
        <w:t>Wenn die Beschwerdeführerin aus dem Verwendungszweck des Anhängers als Testfahrzeug bzw. Prototyp ableiten will, das Werk sei unvollendet, verkennt sie, dass sich das Werk und damit auch dessen Vollendung nach der vertraglichen Vereinbarung bestimmt. Der Anhänger wurde aber nach den Feststellungen der Vorinstanz vom Beschwerdegegner als Prototyp oder Testfahrzeug so geliefert, wie ihn die Beschwerdeführerin bestellt hatte. Die Beschwerdeführerin behauptet denn auch nicht, dass bestimmte vertraglich vereinbarte Teile des Prototyps noch gefehlt hätten; sie bestreitet nicht, dass der Beschwerdegegner sämtliche Arbeiten ausführte, die vertraglich geschuldet waren. Dass sie das - vertragsgemäss ausgeführte und damit vollendete - Werk zur Grundlage veränderter oder verbesserter Werkausführungen machen wollte, ändert daran nichts. Die Vorinstanz hat im Ergebnis zutreffend erkannt, dass die Beschwerdeführerin nicht nur zu beweisen hat, dass der Anhänger mangelhaft war bzw. dessen Mangel den Unfall - dessen Kosten sie zum Ersatz beansprucht - adäquat-kausal verursachte, sondern dass sie auch die Rechtzeitigkeit der Mängelrüge beweisen muss ( BGE 100 II 30 E. 2 S. 32 f.).</w:t>
      </w:r>
    </w:p>
    <w:p>
      <w:r>
        <w:rPr>
          <w:b/>
        </w:rPr>
        <w:t>E. 3</w:t>
      </w:r>
    </w:p>
    <w:p>
      <w:r>
        <w:t>Die Vorinstanz hat mit dem Kantonsgericht den Beweis nicht als erbracht angesehen, dass die Kupplung des vom Beschwerdegegner hergestellten Anhängers Mängel aufgewiesen hat. Sie hat aus diesem Grund die Forderung der Beschwerdeführerin auf Ersatz des behaupteten Mangelfolgeschadens abgewiesen.</w:t>
      </w:r>
    </w:p>
    <w:p>
      <w:r>
        <w:rPr>
          <w:b/>
        </w:rPr>
        <w:t>E. 3.1</w:t>
      </w:r>
    </w:p>
    <w:p>
      <w:r>
        <w:t>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Es gilt das strenge Rügeprinzip ( Art. 106 Abs. 2 BGG ). Das Bundesgericht prüft in diesem Fall nur klar und detailliert erhobene und, soweit möglich, belegte Rügen; auf rein appellatorische Kritik am angefochtenen Entscheid tritt es nicht ein ( BGE 137 II 353 E. 5.1 S. 356; 134 II 244 E. 2.2 S. 246).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S. 560).</w:t>
      </w:r>
    </w:p>
    <w:p>
      <w:r>
        <w:rPr>
          <w:b/>
        </w:rPr>
        <w:t>E. 3.2</w:t>
      </w:r>
    </w:p>
    <w:p>
      <w:r>
        <w:t>Die Vorinstanz hat zunächst zutreffend festgehalten, dass die Beschwerdeführerin - welche die eingeklagten Ansprüche aus einem angeblichen Mangel des Anhängers im Bereich der Kupplung ableitet - den behaupteten Werkmangel zur vollen Überzeugung des Gerichts nachweisen muss. Sie hat die behauptete Beweisnot der Beschwerdeführerin mit dem zutreffenden Hinweis verworfen, dass blosse Beweisschwierigkeiten im Einzelfall nicht zu Beweiserleichterungen führen können ( BGE 130 III 321 E. 3.2 S. 324) und sich die Beschwerdeführerin ausserdem vorhalten lassen muss, dass sie nicht rechtzeitig ein Begehren auf Edition der Original-Unfallkupplung gestellt hat. Unbesehen der Umstände der Entsorgung der Originalkupplung besteht hier kein Grund für eine Beweiserleichterung. Die Beschwerdeführerin verkennt zudem die ihr obliegende Beweislast, wenn sie annimmt, sie brauche den technischen Mangel nicht zu beweisen. Die Vorinstanz hält zutreffend fest, dass das Loslösen des Anhängers während der Fahrt nicht beweist, dass die Ursache dafür ein Defekt der Kupplung war.</w:t>
      </w:r>
    </w:p>
    <w:p>
      <w:r>
        <w:rPr>
          <w:b/>
        </w:rPr>
        <w:t>E. 3.3</w:t>
      </w:r>
    </w:p>
    <w:p>
      <w:r>
        <w:t>Die Vorinstanz hat - teilweise mit Verweis auf die Erwägungen der ersten Instanz - gestützt auf das Gerichtsgutachten den Beweis des Werkmangels nicht als erbracht angesehen, ohne den Experten des Strassenverkehrsamtes als Zeugen einzuvernehmen, der im Strafverfahren starke Indizien für Materialalterungen und Verschleiss-Spuren festgestellt hatte. Entgegen der Auffassung der Beschwerdeführerin ist nicht willkürlich, dass die Vorinstanz dem von ihr eingeholten Gerichtsgutachten den Vorzug vor dem Gutachten eingeräumt hat, das im Verfahren der Strafuntersuchung bei einem Angestellten des Strassenverkehrsamtes St. Gallen eingeholt wurde. Der Gerichtsexperte ist in Kenntnis des im Strafverfahren eingeholten Gutachtens zum Schluss gelangt, dass die Kupplung mit grosser Wahrscheinlichkeit vor der Unfallfahrt für den Gebrauch funktionstauglich und in Ordnung war. Was die von der Beschwerdeführerin beantragte Zeugeneinvernahme des Experten des Strassenverkehrsamtes daran hätte ändern können, wird in der Beschwerde nicht begründet. Die Vorinstanz hat in vertretbarer Weise auf die vom erstinstanzlichen Gericht eingeholte Expertenmeinung abgestellt. Danach lässt sich der Grund, warum sich die Kupplung gelöst hat, nicht mehr eindeutig feststellen und sind insbesondere Fehlmanipulationen beim Anhängen oder ein ausgefahrenes Stützrad als Ursache nicht auszuschliessen. Der Schluss, dass die Beschwerdeführerin damit mit dem ihr obliegenden Beweis gescheitert ist, dass der Unfall auf einen Mangel des Anhängers bzw. dessen Kupplung zurückzuführen sei, beruht nicht auf willkürlicher Würdigung der Beweise.</w:t>
      </w:r>
    </w:p>
    <w:p>
      <w:r>
        <w:rPr>
          <w:b/>
        </w:rPr>
        <w:t>E. 4</w:t>
      </w:r>
    </w:p>
    <w:p>
      <w:r>
        <w:t>Die Vorinstanz hat weder die bundesrechtlichen Anforderungen an den Beweis verkannt noch die Beweise willkürlich gewürdigt, wenn sie die Klage mangels nachgewiesenen Werkmangels abwies. Es kann daher dahingestellt bleiben, ob sie bundesrechtskonform auch die Rechtzeitigkeit der Mängelrüge als nicht bewiesen erachtete. Die Beschwerde ist abzuweisen, soweit darauf einzutreten ist. Diesem Ausgang des Verfahrens entsprechend sind die Gerichtskosten der Beschwerdeführerin zu auferlegen ( Art. 66 Abs. 1 BGG ) und sie hat dem anwaltlich vertretenen Beschwerdegegner überdies dessen Parteikosten für das bundesgerichtliche Verfahren zu ersetzen ( Art. 68 Abs. 2 BGG ). Gebühr und Entschädigung bemessen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