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4A_400/2024 vom 23. Oktober 2024</w:t>
      </w:r>
    </w:p>
    <w:p>
      <w:r>
        <w:t>Bundesgericht, 2024-10-23, FR</w:t>
      </w:r>
    </w:p>
    <w:p>
      <w:r>
        <w:rPr>
          <w:b/>
        </w:rPr>
        <w:t xml:space="preserve">Quelle: </w:t>
      </w:r>
      <w:r>
        <w:t>https://mcp.opencaselaw.ch/entscheid/bger_4A_400_2024</w:t>
      </w:r>
    </w:p>
    <w:p>
      <w:r>
        <w:t>FR: TF 4A_400/2024 du 23 octobre 2024</w:t>
      </w:r>
    </w:p>
    <w:p>
      <w:r>
        <w:t>IT: TF 4A_400/2024 del 23 ottobre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celle-ci n'a pas été rendue dans l'une des langues officielles de la Confédération suisse, il a pour pratique de conduire la procédure d'instruction et de rendre son arrêt dans la langue du recours. Si celui-ci a été rédigé en anglais comme le permet l' art. 77 al. 2bis LTF , il détermine librement la langue de la procédure. A cet égard, le Tribunal fédéral peut tenir compte, conformément au principe constitutionnel de célérité (art. 29 al. 1 de la Constitution fédérale de la Confédération suisse [Cst.; RS 101]), de l'équilibre de la charge de travail des sections linguistiques de la cour chargée de l'affaire (arrêt 4A_486/2023 du 26 avril 2024 consid. 1 et les références citées).</w:t>
      </w:r>
    </w:p>
    <w:p>
      <w:r>
        <w:t>En l'occurrence, la décision attaquée a été rendue en anglais et la recourante s'est servie de cette langue pour rédiger son mémoire. L'intéressée a toutefois employé le français dans la lettre accompagnant son écriture de recours et l'instruction de la procédure a été conduite en français. La Cour de céans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de l'arbitrage se trouve à Genève. L'une des parties au moins n'avait pas son siège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143 III 462 consid. 2.1; 136 III 200 consid. 2.3.1; 136 III 597 consid. 4.2). Il en va de même d'une décision sur mesures provisionnelles visée par l' art. 183 LDIP ( ATF 136 III 200 consid. 2.3 et les références citées). Pour juger de la recevabilité du recours, ce qui est déterminant n'est pas la dénomination du prononcé entrepris, mais le contenu de celui-ci ( ATF 143 III 462 consid. 2.1; 142 III 284 consid. 1.1.1).</w:t>
      </w:r>
    </w:p>
    <w:p>
      <w:r>
        <w:t>Contrairement à ce que soutient l'intéressée dans son mémoire de recours, la décision entreprise n'est ni une décision finale ni une sentence partielle. Il s'agit au contraire d'une décision incidente par laquelle l'arbitre a réglé une question procédurale, à savoir la recevabilité des moyens de compensation invoqués par la recourante au regard de l'art. 22 du Règlement.</w:t>
      </w:r>
    </w:p>
    <w:p>
      <w:r>
        <w:rPr>
          <w:b/>
        </w:rPr>
        <w:t>E. 3.2.1</w:t>
      </w:r>
    </w:p>
    <w:p>
      <w:r>
        <w:t>En vertu de l' art. 190 al. 3 LDIP , une sentence incidente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3.2.2</w:t>
      </w:r>
    </w:p>
    <w:p>
      <w:r>
        <w:t>Dans son mémoire de recours, l'intéressée fait grief à l'arbitre d'avoir enfreint son droit d'être entendue ( art. 190 al. 2 let . d LDIP) et d'avoir rendu une sentence incompatible avec l'ordre public ( art. 190 al. 2 let . e LDIP). Or, ces deux moyens sont soulevés pour eux-mêmes et ne se rapportent nullement aux motifs de recours visés par l' art. 190 al. 2 let. a et b LDIP . Le présent recours est dès lors irrecevable, vu l'absence de griefs recevables.</w:t>
      </w:r>
    </w:p>
    <w:p>
      <w:r>
        <w:rPr>
          <w:b/>
        </w:rPr>
        <w:t>E. 4</w:t>
      </w:r>
    </w:p>
    <w:p>
      <w:r>
        <w:t>Au vu de ce qui précède, les frais de la présente procédure, lesquels seront sensiblement réduits pour tenir compte de la nature du présent arrêt (décision d'irrecevabilité faute de griefs recevables), seront mis à la charge de la recourante ( art. 66 al. 1 LTF ), laquelle se verra restituer le solde de l'avance de frais fournie par elle. L'intimée n'a pas droit à des dépens, dès lors 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