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400/2010 vom 1. November 2010</w:t>
      </w:r>
    </w:p>
    <w:p>
      <w:r>
        <w:t>Bundesgericht, 2010-11-01, FR</w:t>
      </w:r>
    </w:p>
    <w:p>
      <w:r>
        <w:rPr>
          <w:b/>
        </w:rPr>
        <w:t xml:space="preserve">Quelle: </w:t>
      </w:r>
      <w:r>
        <w:t>https://mcp.opencaselaw.ch/entscheid/bger_4A_400_2010</w:t>
      </w:r>
    </w:p>
    <w:p>
      <w:r>
        <w:t>FR: TF 4A 400/2010 du 1 novembre 2010</w:t>
      </w:r>
    </w:p>
    <w:p>
      <w:r>
        <w:t>IT: TF 4A 400/2010 del 1 novembre 2010</w:t>
      </w:r>
    </w:p>
    <w:p>
      <w:pPr>
        <w:pStyle w:val="Heading2"/>
      </w:pPr>
      <w:r>
        <w:t>Regeste</w:t>
      </w:r>
    </w:p>
    <w:p>
      <w:r>
        <w:t>éxécution d'une décision étrangère | Droit des obligations (en général)</w:t>
      </w:r>
    </w:p>
    <w:p>
      <w:pPr>
        <w:pStyle w:val="Heading2"/>
      </w:pPr>
      <w:r>
        <w:t>Erwägungen</w:t>
      </w:r>
    </w:p>
    <w:p>
      <w:r>
        <w:rPr>
          <w:b/>
        </w:rPr>
        <w:t>E. 1.1</w:t>
      </w:r>
    </w:p>
    <w:p>
      <w:r>
        <w:t>Le recours est dirigé contre une décision finale ( art. 90 LTF ), prise en dernière instance cantonale ( art. 75 al. 1 LTF ), qui a pour objet l'exécution d'un jugement étranger rendu en matière civile (art. 72 al. 2 let. b ch. 1 LTF), ainsi que la mainlevée définitive de l'opposition à un commandement de payer ( ATF 134 III 115 consid. 1.1 p. 117). La valeur litigieuse est manifestement supérieure à 30'000 fr. (art. 51 al. 1 let. a et 74 al. 1 let. b LTF). Le recours est formé par une partie qui a pris part à l'instance précédente et a succombé dans ses conclusions ( art. 76 al. 1 LTF ). Introduit en temps utile ( art. 100 al. 1 LTF )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Le recours porte sur l'exequatur d'un jugement civil néerlandais en Suisse, requis dans le cadre d'une procédure de mainlevée (cf. ATF 125 III 386 consid. 3a p. 387). La Suisse et les Pays-Bas sont tous deux parties à la Convention concernant la compétence judiciaire et l'exécution des décisions en matière civile et commerciale (Convention de Lugano, CL; RS 0.275.11), qui s'applique donc en l'espèce. L'autorité cantonale s'est fondée sur l' art. 27 ch. 2 CL pour refuser l'exequatur du jugement néerlandais du 5 mars 1997 prononcé par défaut. Selon cette disposition, les décisions rendues dans un État contractant ne sont pas reconnues si l'acte introductif d'instance ou un acte équivalent n'a pas été signifié ou notifié au défendeur défaillant, régulièrement et en temps utile, pour qu'il puisse se défendre. Les deux conditions - régularité et ponctualité - sont cumulatives (Fridolin Walther, in Dasser/Oberhammer [ed], Kommentar zur Lugano-Übereinkommen, 2008, n° 40 ad art. art. 27 CL p. 545); l'État requis d'exécuter un jugement étranger doit en examiner le respect (arrêt 5P.471/2002 du 12 février 2003 consid. 3.1, in Pra 2003 n° 142 p. 764).</w:t>
      </w:r>
    </w:p>
    <w:p>
      <w:r>
        <w:rPr>
          <w:b/>
        </w:rPr>
        <w:t>E. 3</w:t>
      </w:r>
    </w:p>
    <w:p>
      <w:r>
        <w:t>En premier lieu, la recourante soutient que l'acte introductif d'instance a été régulièrement notifié à l'intimée.</w:t>
      </w:r>
    </w:p>
    <w:p>
      <w:r>
        <w:rPr>
          <w:b/>
        </w:rPr>
        <w:t>E. 3.1</w:t>
      </w:r>
    </w:p>
    <w:p>
      <w:r>
        <w:t>Sur cette question, la cour cantonale a constaté en droit et en fait ce qui suit: L'intimée, État souverain, n'est pas partie à la Convention de La Haye relative à la procédure civile (RS 0.274.12), ni à la Convention de La Haye relative à la signification et à la notification à l'étranger des actes judiciaires et extrajudiciaires en matière civile ou commerciale (RS 0.274.131). Elle n'est pas liée aux Pays-Bas par un autre traité international réglant cette matière. Selon le code de procédure civile néerlandais applicable à l'époque concernée, les personnes qui n'avaient pas de résidence ou domicile connu aux Pays-Bas, mais dont le domicile à l'étranger était connu, devaient être assignées par notification au Ministère public du district où les procédures étaient introduites. Le Ministère public remettait alors une copie de l'assignation au Département d'État néerlandais, qui devait à son tour faire suivre l'assignation, habituellement par le biais du Service diplomatique, dans le pays de domicile des défendeurs. Du point de vue du code de procédure civile néerlandais, la notification était tenue pour effectuée après que l'acte introductif d'instance avait été remis au Ministère public. Le délai ordinaire pour la signification de l'acte à l'étranger, de quatre mois en principe, pouvait être, sur requête, abrégé par décision du tribunal. Dans le cas particulier, l'assignation introductive d'instance à comparaître à l'audience du 22 janvier 1997 a été remise le 17 décembre 1996 par huissier au Parquet de l'Officier du Ministère public du Tribunal de Grande Instance, à Amsterdam. La signification est alors intervenue, avec la remise au Ministère public compétent des documents dont la notification était requise. Au surplus, rien ne permet de retenir que l'intimée a effectivement reçu les documents qui devaient lui être notifiés par voie diplomatique, ni qu'elle acceptait une autre forme de notification que la voie diplomatique.</w:t>
      </w:r>
    </w:p>
    <w:p>
      <w:r>
        <w:rPr>
          <w:b/>
        </w:rPr>
        <w:t>E. 3.2</w:t>
      </w:r>
    </w:p>
    <w:p>
      <w:r>
        <w:t>La recourante se plaint d'une constatation manifestement inexacte des faits ( art. 97 al. 1 LTF ). Elle reproche à l'autorité cantonale de ne pas avoir retenu que la Rafidain Bank était une émanation de l'intimée et devait lui être assimilée. A son sens, cette circonstance a pour conséquence que la signification de l'acte introductif à cette banque, par voie postale, valait signification à l'intimée. Il est exact que l'autorité cantonale n'a pas spécifiquement établi les liens entre la banque précitée et l'intimée. Cette absence de constatation ne peut toutefois avoir de suites juridiques que si le fait invoqué est susceptible d'influer sur le sort de la cause ( art. 97 al. 1 LTF ), ce qu'il appartient à la recourante de démontrer. A ce propos, la motivation du grief consiste, pour l'essentiel, à inviter la cour de céans à prendre connaissance de pièces dont le contenu n'est pas repris dans l'acte de recours. Une telle façon de procéder n'est pas conforme aux exigences légales; il n'y a pas à s'y arrêter (cf. ATF 136 II 101 consid. 3 p. 104 s.; 135 III 127 consid. 1.5 p. 129 s.). Pour le reste, il apparaît que la banque est manifestement une entité juridique séparée de l'intimée. Elle figure d'ailleurs expressément comme telle dans l'ordonnance du 7 août 1990, au titre d'entreprise sous contrôle de l'ancien gouvernement irakien (cf. art. 2 al. 1 let. a n° 3 de la liste des entreprises et corporations annexée à l'ordonnance). Elle constitue bien une entreprise juridiquement distincte de l'intimée, et non une entité de l'administration. Au demeurant, la banque et l'intimée ont été condamnées solidairement par le jugement néerlandais dont l'exequatur est requis; en ouvrant action contre ces deux parties, la recourante les considérait donc comme deux entités juridiquement distinctes. Le fait que l'intimée contrôle la banque est sans pertinence pour la question à trancher. Ce pouvoir n'implique nullement que la banque contrôlée avait le pouvoir de représenter l'intimée. Il ne saurait être admis que la notification d'un acte à une entreprise sous contrôle étatique vaille notification à l'État souverain lui-même, ni que ce dernier puisse se voir imputer ce que savait l'entreprise sur la base d'une procuration apparente (cf. sur cette notion, ATF 133 V 408 consid. 5.3.4 p. 414), sauf évidemment si l'État a conféré expressément ce pouvoir à l'entreprise. Or, rien de tel n'a été retenu en l'espèce. Et la recourante ne se plaint pas, à cet égard, d'une constatation de fait manifestement inexacte.</w:t>
      </w:r>
    </w:p>
    <w:p>
      <w:r>
        <w:rPr>
          <w:b/>
        </w:rPr>
        <w:t>E. 3.3</w:t>
      </w:r>
    </w:p>
    <w:p>
      <w:r>
        <w:t>La recourante soutient en outre que l'assignation était régulière dès lors que le Tribunal de Grande Instance d'Amsterdam a procédé conformément aux règles du code de procédure civile néerlandais. En l'espèce, cette autorité judiciaire a procédé à la notification de l'acte d'introduction par remise au Ministère public d'Amsterdam, soit sur territoire néerlandais. C'est donc en vertu du droit néerlandais qu'il y a lieu d'examiner la régularité de cette notification (arrêt 4A_161/2008 du 1er juillet 2008 consid. 3.1, in SJ 2009 I p. 144; Fridolin Walther, op. cit., n° 47 ad art. 27 CL p. 546 s.). Lorsque le litige est de nature pécuniaire, le Tribunal fédéral n'examine l'application du droit étranger que sous l'angle d'une violation de l'interdiction constitutionnelle de l'arbitraire ( art. 96 let. b LTF a contrario; ATF 133 III 446 consid. 3.1 p. 447 s.). La décision entreprise ne sera annulée que si elle est manifestement insoutenable, viole une norme ou un principe juridique clair et indiscuté, ou encore heurte d'une manière choquante le sentiment de la justice et de l'équité (entre autres ATF 134 I 263 consid. 3.1 p. 265 s.). L'acte de recours doit, sous peine d'irrecevabilité, contenir un exposé succinct des droits et principes constitutionnels violés et exposer de manière claire et circonstanciée en quoi consiste leur violation (entre autres ATF 134 I 83 consid. 3.2 p. 88). La cour cantonale a interprété le droit néerlandais en ce sens qu'une assignation régulière de l'intimée, État souverain, supposait non seulement le respect des règles du code de procédure civile néerlandais par le tribunal, mais encore la notification de l'acte introductif par la voie diplomatique. Faute d'une telle notification, les juges genevois ont jugé qu'il n'était pas établi que la procédure néerlandaise en matière de notification des actes judiciaires avait été respectée. La recourante se borne à relever que le tribunal d'Amsterdam a respecté les règles du code de procédure néerlandais, ce que les juges cantonaux ont d'ailleurs admis. En revanche, elle ne tente aucunement de démontrer qu'il était insoutenable de retenir que le droit néerlandais posait l'exigence supplémentaire d'une notification par la voie diplomatique; elle ne dit mot de cette question. Le grief est ainsi irrecevable, faute de motivation. Au demeurant, à défaut de convention spécifique entre les Pays-Bas et l'intimée, on ne discerne pas en quoi il serait arbitraire de retenir que les principes généraux concernant les notifications judiciaires d'un État à un autre État s'appliquaient en l'occurrence (cf. ATF 135 III 623 consid. 3 p. 627 s.), ni en quoi il était insoutenable d'exiger que l'acte à notifier soit effectivement remis au destinataire atteignable.</w:t>
      </w:r>
    </w:p>
    <w:p>
      <w:r>
        <w:rPr>
          <w:b/>
        </w:rPr>
        <w:t>E. 3.4</w:t>
      </w:r>
    </w:p>
    <w:p>
      <w:r>
        <w:t>La recourante soutient enfin que le refus d'admettre la régularité de l'assignation et, partant, d'accorder l'exequatur conduit à un résultat insoutenable, car contraire à la Convention de Bruxelles, respectivement au Règlement CE 44/2001, dont le but est de favoriser la libre circulation des décisions entre États parties et en vertu desquels elle aurait obtenu l'exequatur dans de nombreux États européens. Il ne ressort pas de l'arrêt attaqué que la recourante aurait obtenu l'exequatur du jugement néerlandais dans divers pays européens. Il ne saurait donc être tenu compte de ce fait allégué (cf. art. 105 al. 1 LTF ). La Convention de Bruxelles, liant les États de l'Union Européenne, et la Convention de Lugano, à laquelle la Suisse est partie, sont apparentées; de surcroît, la Suisse tient compte de la jurisprudence rendue par les autorités de l'Union Européenne lorsqu'elle applique la Convention de Lugano (cf. ATF 134 III 218 consid. 3.3 p. 222). Cela étant, lorsqu'elle était appelée à appliquer la disposition de la Convention de Bruxelles correspondant à l' art. 27 ch. 2 CL , la Cour de justice des Communautés européennes a, dans une pratique constante et rigoureuse, dénié toute efficacité à une demande en justice irrégulièrement notifiée (cf. à ce sujet, ATF 135 III 623 consid. 3.1 p. 627). Par ailleurs, il est vrai que le Règlement CE 44/2001, qui remplace la Convention de Bruxelles, ne prévoit plus l'examen, par le juge de l'exequatur, de la régularité de l'assignation ou de la notification de l'acte introductif et que la Convention de Lugano a été modifiée dans le même sens (art. 34 ch. 2 nLC; cf. Dallafior/Götz Staehelin, Überblick über die wichtigsten Änderungen des Lugano-Übereinkommens, in RSJ/SJZ 2008 p. 114). Cependant, cette modification n'est pas encore en vigueur (cf. ATF 135 III 623 consid. 3.4 p. 631 s.), de sorte que la recourante ne peut rien déduire de cette nouvelle réglementation (cf. arrêt précité du 1er juillet 2008 consid. 4.2).</w:t>
      </w:r>
    </w:p>
    <w:p>
      <w:r>
        <w:rPr>
          <w:b/>
        </w:rPr>
        <w:t>E. 4</w:t>
      </w:r>
    </w:p>
    <w:p>
      <w:r>
        <w:t>La décision de l'autorité cantonale, dans la mesure où elle retient que l'acte introductif d'instance n'a pas été signifié ou notifié à l'intimée défaillante de manière régulière, ne prête ainsi pas le flanc à la critique. Le sort du recours se trouve ainsi scellé, sans qu'il soit nécessaire d'examiner les autres griefs soulevés, portant sur le point de savoir si la signification ou notification a eu lieu en temps utile.</w:t>
      </w:r>
    </w:p>
    <w:p>
      <w:r>
        <w:rPr>
          <w:b/>
        </w:rPr>
        <w:t>E. 5</w:t>
      </w:r>
    </w:p>
    <w:p>
      <w:r>
        <w:t>La recourante, qui succombe, supportera les frais de la procédure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