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400/2008 vom 9. Februar 2009</w:t>
      </w:r>
    </w:p>
    <w:p>
      <w:r>
        <w:t>Bundesgericht, 2009-02-09, FR</w:t>
      </w:r>
    </w:p>
    <w:p>
      <w:r>
        <w:rPr>
          <w:b/>
        </w:rPr>
        <w:t xml:space="preserve">Quelle: </w:t>
      </w:r>
      <w:r>
        <w:t>https://mcp.opencaselaw.ch/entscheid/bger_4A_400_2008</w:t>
      </w:r>
    </w:p>
    <w:p>
      <w:r>
        <w:t>FR: TF 4A 400/2008 du 9 février 2009</w:t>
      </w:r>
    </w:p>
    <w:p>
      <w:r>
        <w:t>IT: TF 4A 400/2008 del 9 febbraio 2009</w:t>
      </w:r>
    </w:p>
    <w:p>
      <w:pPr>
        <w:pStyle w:val="Heading2"/>
      </w:pPr>
      <w:r>
        <w:t>Regeste</w:t>
      </w:r>
    </w:p>
    <w:p>
      <w:r>
        <w:t>arbitrage international; droit d'être entendu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tandis que, dans les mémoires qu'elles ont adressés au Tribunal fédéral, elles ont employé, qui le français (le recourant), qui l'allemand (l'intimé). Conformément à sa pratique, le Tribunal fédéral adoptera la langue du recours et rendra, par conséquent, son arrêt en français.</w:t>
      </w:r>
    </w:p>
    <w:p>
      <w:r>
        <w:rPr>
          <w:b/>
        </w:rPr>
        <w:t>E. 2.1</w:t>
      </w:r>
    </w:p>
    <w:p>
      <w:r>
        <w:t>Dans le domaine de l'arbitrage international, le recours en matière civile est recevable contre les décisions de tribunaux arbitraux aux conditions prévues par les art. 190 à 192 LDIP ( art. 77 al. 1 LTF ).</w:t>
      </w:r>
    </w:p>
    <w:p>
      <w:r>
        <w:rPr>
          <w:b/>
        </w:rPr>
        <w:t>E. 2.2</w:t>
      </w:r>
    </w:p>
    <w:p>
      <w:r>
        <w:t>Le siège du TAS se trouve à Lausanne. L'une des parties au moins (en l'occurrence, les deux) n'avait pas son domicile en Suisse au moment déterminant. Les dispositions du chapitre 12 de la LDIP sont donc applicables ( art. 176 al. 1 LDIP ).</w:t>
      </w:r>
    </w:p>
    <w:p>
      <w:r>
        <w:rPr>
          <w:b/>
        </w:rPr>
        <w:t>E. 2.3</w:t>
      </w:r>
    </w:p>
    <w:p>
      <w:r>
        <w:t>Le recourant est directement touché par la sentence attaquée, puisque celle-ci confirme le rejet de la demande pécuniaire qu'il avait soumise au juge unique. Il a ainsi un intérêt personnel, actuel et juridiquement protégé à ce que cette sentence n'ait pas été rendue en violation de l' art. 190 al. 2 let . d LDIP, ce qui lui confère la qualité pour recourir ( art. 76 al. 1 LTF ). Déposé dans les 30 jours suivant la notification de la sentence attaquée ( art. 100 al. 1 LTF ), le recours, qui satisfait aux exigences formelles posées par l' art. 42 al. 1 LTF , est recevable.</w:t>
      </w:r>
    </w:p>
    <w:p>
      <w:r>
        <w:rPr>
          <w:b/>
        </w:rPr>
        <w:t>E. 3</w:t>
      </w:r>
    </w:p>
    <w:p>
      <w:r>
        <w:t>Comme unique grief, le recourant reproche au TAS d'avoir fondé sa sentence sur un motif juridique imprévisible pour les parties et d'avoir ainsi violé son droit d'être entendu.</w:t>
      </w:r>
    </w:p>
    <w:p>
      <w:r>
        <w:rPr>
          <w:b/>
        </w:rPr>
        <w:t>E. 3.1</w:t>
      </w:r>
    </w:p>
    <w:p>
      <w:r>
        <w:t>En Suisse, le droit d'être entendu se rapporte surtout à la constatation des faits. Le droit des parties d'être interpellées sur des questions juridiques n'est reconnu que de manière restreinte. En règle générale, selon l'adage jura novit curia,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w:t>
      </w:r>
    </w:p>
    <w:p>
      <w:r>
        <w:rPr>
          <w:b/>
        </w:rPr>
        <w:t>E. 3.2</w:t>
      </w:r>
    </w:p>
    <w:p>
      <w:r>
        <w:t>En l'espèce, le recourant plaide avec raison l'effet de surprise. Que le droit suisse fût applicable à titre supplétif au présent litige n'est certes pas contesté, ni contestable du reste. Cela résulte déjà de la combinaison de l'art. R58 du Code de l'arbitrage en matière de sport (édition 2004) et de l'art. 59 al. 2 des Statuts de la FIFA dans leur version applicable à l'époque des faits litigieux. C'est d'ailleurs sur ce droit que le recourant a fondé l'argumentation qu'il a présentée au TAS. Il est tout aussi exact, comme les arbitres le précisent sous chiffres 6.26 et 6.27 de leur sentence, que la liberté contractuelle des parties ne pouvait s'exercer que dans les limites fixées par les dispositions de droit public relatives aux intermédiaires pour la recherche de travail, spécifiques au pays concerné, et dans le respect des autres normes juridiques contraignantes de la législation du pays national concerné, du droit international et des traités internationaux applicables (voir l'art. 12 al. 9 du règlement de la FIFA gouvernant l'activité des agents de joueurs [édition 2001] et le chiffre 5 du contrat de médiation type formant l'annexe C dudit règlement). Il ne s'ensuit pas pour autant que, dans le cas présent, le recourant devait raisonnablement s'attendre à se voir appliquer les dispositions pertinentes de la LSE. Ainsi que le précise son art. 2 al. 1, cette loi régit, entre autres activités, celle du placeur, qui consiste à mettre employeurs et demandeurs d'emploi en contact afin qu'ils puissent conclure des contrats de travail, mais à la condition que cette activité s'exerce "en Suisse". Tombe également sous le coup de ladite loi, en vertu de son art. 3, celui qui s'occupe régulièrement de placement de personnel de l'étranger ou à l'étranger (placement intéressant l'étranger); dans ce cas, le placeur doit avoir obtenu une autorisation du Secrétariat d'Etat à l'économie (SECO) en sus de l'autorisation cantonale. Cette double exigence démontre, si besoin est, que la LSE ne vise que l'activité de placement exercée depuis la Suisse, même si cette activité intéresse l'étranger. Il en va également ainsi lorsqu'il s'agit, comme en l'espèce, du placement à l'étranger d'une personne en quête d'emploi à l'étranger. Preuve en est la formulation de l'art. 5 let. a de l'ordonnance du 16 janvier 1991 sur le service de l'emploi et la location de services (OSE; RS 823.111), ainsi libellé, qui vise ce cas de figure: "Est également considérée comme placement à l'étranger l'activité d'un placeur qui, de Suisse, place des demandeurs d'emploi domiciliés à l'étranger dans un pays tiers, pour autant qu'une partie au moins de l'activité de placement s'effectue en Suisse ou que les relations contractuelles entre le placeur et les demandeurs d'emploi ou les employeurs soient régies par le droit suisse" (mots mis en évidence par le Tribunal fédéral). En d'autres termes, même lorsque l'activité de placement s'exerce à l'étranger, il faut que le placeur ait un siège en suisse pour que la LSE trouve à s'appliquer (sur cette question, cf. les Directives et commentaires du SECO relatifs à la LSE, 2003, p. 20 et p. 46 ss (chapitre consacré au contrat de médiation type de la FIFA pour le placement de joueurs de football), «http://www.espace-emploi.ch» sous la rubrique "Placement privé, location de services" et la sous-rubrique "Documents utiles"; voir aussi: Manfred Rehbinder, AVG Arbeitsvermittlungsgesetz, Kommentar, ch. 10 ad art. 2 LSE ; Andreas Ritter, Das revidierte Arbeitsvermittlungsgesetz, thèse Zurich 1993, p. 94 s.). En l'occurrence, il est question d'un agent de joueurs espagnol domicilié en Espagne qui réclame une commission de courtage à un joueur de football brésilien domicilié au Portugal du fait que ce joueur a conclu un contrat de travail avec un club de football portugais grâce à sa prétendue entremise. Hormis l'application à titre supplétif du droit matériel suisse prévue par le règlement de la FIFA, la présente cause n'offre ainsi pas le moindre point de rattachement avec la Suisse. C'est dire que le recourant ne pouvait pas prévoir que le TAS tirerait argument d'une disposition de la LSE manifestement inapplicable pour conclure à la nullité de la clause d'exclusivité stipulée par les parties et maintenir, de ce fait, l'exigence d'un lien de causalité (non prouvé) entre l'activité alléguée par le courtier et la conclusion du contrat de travail par l'intimé avec le club portugais. Il le pouvait d'autant moins qu'aucune des parties n'avait invoqué la LSE dans la procédure arbitrale. Le TAS aurait dû, à tout le moins, interpeller les parties sur cette question et les inviter à faire valoir leurs moyens. Le recourant eût été alors en mesure de présenter ses arguments pour s'opposer à l'application de la LSE. Aussi, en omettant cette interpellation, le TAS a-t-il violé le droit d'être entendu du recourant. Semblable violation a eu une incidence concrète sur la situation juridique de cette partie, puisque celle-ci ne dispose d'aucun moyen pour faire sanctionner par le Tribunal fédéral l'application erronée, voire arbitraire, de la LES qui a entraîné le rejet de sa demande pécuniaire. Cela étant, il y a lieu d'admettre le recours et d'annuler la sentence attaquée. En revanche, eu égard au caractère purement cassatoire du recours en matière civile dirigé contre une sentence arbitrale internationale ( art. 77 al. 2 LTF ), il ne sera pas donné suite à la conclusion du recourant visant à ce que la cause soit renvoyée au TAS avec une injonction.</w:t>
      </w:r>
    </w:p>
    <w:p>
      <w:r>
        <w:rPr>
          <w:b/>
        </w:rPr>
        <w:t>E. 4</w:t>
      </w:r>
    </w:p>
    <w:p>
      <w:r>
        <w:t>L'intimé, qui succombe, devra supporter les frais de la procédure fédérale ( art. 66 al. 1 LTF ) et verser des dépens au recourant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