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4A_3/2018 vom 22. März 2018</w:t>
      </w:r>
    </w:p>
    <w:p>
      <w:r>
        <w:t>Bundesgericht, 2018-03-22, DE</w:t>
      </w:r>
    </w:p>
    <w:p>
      <w:r>
        <w:rPr>
          <w:b/>
        </w:rPr>
        <w:t xml:space="preserve">Quelle: </w:t>
      </w:r>
      <w:r>
        <w:t>https://mcp.opencaselaw.ch/entscheid/bger_4A_3_2018</w:t>
      </w:r>
    </w:p>
    <w:p>
      <w:r>
        <w:t>FR: TF 4A_3/2018 du 22 mars 2018</w:t>
      </w:r>
    </w:p>
    <w:p>
      <w:r>
        <w:t>IT: TF 4A_3/2018 del 22 marzo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Zivilrechtsstreitigkeit ( Art. 72 BGG ) und richtet sich gegen einen Endentscheid ( Art. 90 BGG ) eines oberen kantonalen Gerichts, das als Rechtsmittelinstanz entschieden hat ( Art. 75 BGG ). Das Streitwerterfordernis ( Art. 74 Abs. 1 BGG ) ist erfüllt, die Beschwerdeführerin ist mit ihren Begehren unterlegen ( Art. 76 BGG ) und die Beschwerde ist innert der Beschwerdefrist eingereicht worden ( Art. 100 Abs. 1 BGG ).</w:t>
      </w:r>
    </w:p>
    <w:p>
      <w:r>
        <w:t>Auf die Beschwerde ist demnach - unter Vorbehalt zulässiger Anträge ( Art. 42 Abs. 1 BGG ) und einer hinreichenden Begründung ( Art. 42 Abs. 2 sowie Art. 106 Abs. 2 BGG ) -einzutreten.</w:t>
      </w:r>
    </w:p>
    <w:p>
      <w:r>
        <w:rPr>
          <w:b/>
        </w:rPr>
        <w:t>E. 1.2</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so ist darauf nicht einzutreten ( BGE 142 I 99 E. 1.7.2; 140 III 115 E. 2 S. 116 ; 136 I 65 E. 1.3.1).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140 III 16 E. 1.3.1; 133 II 249 E. 1.4.3).</w:t>
      </w:r>
    </w:p>
    <w:p>
      <w:r>
        <w:rPr>
          <w:b/>
        </w:rPr>
        <w:t>E. 1.4</w:t>
      </w:r>
    </w:p>
    <w:p>
      <w:r>
        <w:t>Die Beschwerdeführerin formuliert hinsichtlich des vorinstanzlichen Kostenentscheids separate Rechtsbegehren (Antrags-Ziffer 3). Aus ihrer Beschwerdebegründung, der sich keine Rüge der bundesrechtswidrigen Festsetzung der Prozesskosten entnehmen lässt, ergibt sich jedoch, dass sie den obergerichtlichen Kostenentscheid nicht gesondert, d.h. unabhängig vom Ausgang in der Hauptsache, anfechten will.</w:t>
      </w:r>
    </w:p>
    <w:p>
      <w:r>
        <w:rPr>
          <w:b/>
        </w:rPr>
        <w:t>E. 2</w:t>
      </w:r>
    </w:p>
    <w:p>
      <w:r>
        <w:t>Die Beschwerdeführerin lehnt die von der I. zivilrechtlichen Abteilung des Bundesgerichts bestimmte Besetzung des Spruchkörpers ab und rügt in diesem Zusammenhang einen Verstoss gegen den Anspruch auf ein auf Gesetz beruhendes und unabhängiges Gericht gemäss Art. 6 EMRK (Antrags-Ziffer 5).</w:t>
      </w:r>
    </w:p>
    <w:p>
      <w:r>
        <w:rPr>
          <w:b/>
        </w:rPr>
        <w:t>E. 2.1</w:t>
      </w:r>
    </w:p>
    <w:p>
      <w:r>
        <w:t>Sie führt aus, die Besetzung der I. zivilrechtlichen Abteilung des Bundesgerichts sei mangels gesetzlicher Grundlage nicht der "gesetzliche Richter" im Sinne von Art. 6 EMRK . Die Besetzung des Spruchkörpers im Einzelfall beruhe nicht auf einem gesetzlichen Geschäftsverteilungsplan, sondern liege im Ermessen der Abteilungspräsidentin. Die in Art. 22 BGG in Verbindung mit Art. 16 Abs. 3 und Art. 40 des Reglements über das Bundesgericht vom 20. November 2006 (BGerR; SR 173.110.131) für die Gerichtsbesetzung vorgesehenen Kriterien böten keine Gewähr dafür, dass der Spruchkörper gegen Einflussnahme von aussen hinreichend geschützt sei. Die Fallzuteilung durch die Abteilungspräsidentin verstosse zudem gegen Art. 6 EMRK in seiner Ausprägung als Anspruch auf ein unabhängiges Gericht und sei "eo ipso" konventionswidrig.</w:t>
      </w:r>
    </w:p>
    <w:p>
      <w:r>
        <w:rPr>
          <w:b/>
        </w:rPr>
        <w:t>E. 2.2</w:t>
      </w:r>
    </w:p>
    <w:p>
      <w:r>
        <w:t>Der Antrag gemäss Ziffer 5 der Rechtsbegehren der Beschwerdeführerin ist abzuweisen. Diesbezüglich kann vollumfänglich auf die ausführliche Begründung im zur Publikation in der Amtlichen Sammlung vorgesehenen Urteil 6B_1356/2016 vom 5. Januar 2018 E. 2 verwiesen werden (vgl. bereits Urteil 6B_568/2017 vom 11. Januar 2018 E. 2). Das Bundesgericht gelangte zum Schluss, der Ermessensspielraum der Abteilungspräsidentin bzw. des Abteilungspräsidenten bei der Fallzuteilung sei mit Art. 30 Abs. 1 BV und Art. 6 EMRK vereinbar.</w:t>
      </w:r>
    </w:p>
    <w:p>
      <w:r>
        <w:rPr>
          <w:b/>
        </w:rPr>
        <w:t>E. 3</w:t>
      </w:r>
    </w:p>
    <w:p>
      <w:r>
        <w:t>Die Beschwerdeführerin verkennt auch hinsichtlich der Bildung des Spruchkörpers im vorinstanzlichen Verfahren, dass der verfassungsmässige Anspruch auf richtige Zusammensetzung des Gerichts ein gewisses Ermessen bei der Besetzung des Spruchkörpers nicht ausschliesst ( BGE 137 I 340 E. 2.2.1; 105 Ia 172 E. 5b; Urteile 6B_1356/2016 vom 5. Januar 2018 E. 2.1, zur Publikation vorgesehen; 1B_491/2016 vom 24. März 2017 E. 1.3). Entgegen dem, was die Beschwerdeführerin anzunehmen scheint, stehen weder die Bundesverfassung noch die EMRK bzw. die dazu ergangene Rechtsprechung des Bundesgerichts oder des Europäischen Gerichtshofs für Menschenrechte (EGMR) einer "aktiven", mithin nicht bloss auf Zufall basierenden Zusammensetzung des Spruchkörpers entgegen, solange diese gesetzlich geregelt ist und auf sachlichen Kriterien beruht (Urteil 6B_1356/2016 vom 5. Januar 2018 E. 2.3, zur Publikation vorgesehen). Inwiefern die Bildung des Spruchkörpers im vorinstanzlichen Verfahren diesen Anforderungen nicht genügt hätte, vermag die Beschwerdeführerin auch vor Bundesgericht nicht aufzuzeigen (vgl. Art. 106 Abs. 2 BGG ). Ohnehin ist ihr Vorbringen unverständlich, die "freihändige" Zuteilung der Geschäfte durch den Abteilungspräsidenten ohne entsprechende gesetzliche Grundlage sei konventionswidrig, zumal der von ihr abgelehnte Oberrichter im Berufungsverfahren in seiner Funktion als Abteilungspräsident im zu beurteilenden Fall selber entschieden hat.</w:t>
      </w:r>
    </w:p>
    <w:p>
      <w:r>
        <w:rPr>
          <w:b/>
        </w:rPr>
        <w:t>E. 4</w:t>
      </w:r>
    </w:p>
    <w:p>
      <w:r>
        <w:t>Die Beschwerdeführerin rügt in verschiedener Hinsicht eine Verletzung des rechtlichen Gehörs ( Art. 29 Abs. 2 BV und Art. 6 Ziff. 1 EMRK ).</w:t>
      </w:r>
    </w:p>
    <w:p>
      <w:r>
        <w:rPr>
          <w:b/>
        </w:rPr>
        <w:t>E. 4.1</w:t>
      </w:r>
    </w:p>
    <w:p>
      <w:r>
        <w:t>Der Anspruch auf rechtliches Gehör verlangt, dass das Gericht die Vorbringen des vom Entscheid in seiner Rechtsstellung Betroffenen auch tatsächlich hört, prüft und in der Entscheidfindung berücksichtigt. Daraus folgt die Verpflichtung, den Entscheid zu begründen. Die Begründung muss kurz die Überlegungen nennen, von denen sich das Gericht hat leiten lassen und auf die es den Entscheid stützt. Nicht erforderlich ist hingegen, dass sich der Entscheid mit allen Parteistandpunkten einlässlich auseinandersetzt und jedes einzelne Vorbringen ausdrücklich widerlegt. Es genügt, wenn der Entscheid gegebenenfalls sachgerecht angefochten werden kann ( BGE 143 III 65 E. 5.2; 142 III 433 E. 4.3.2 S. 436 ; 136 I 184 E. 2.2.1 S. 188; je mit Hinweisen).</w:t>
      </w:r>
    </w:p>
    <w:p>
      <w:r>
        <w:rPr>
          <w:b/>
        </w:rPr>
        <w:t>E. 4.2</w:t>
      </w:r>
    </w:p>
    <w:p>
      <w:r>
        <w:t>Mit dem blossen Vorbringen, die Vorinstanz habe sich ausschliesslich auf Art. 30 BV berufen und habe Art. 6 EMRK trotz entsprechender Rüge unerwähnt gelassen, vermag die Beschwerdeführerin keine Verletzung des rechtlichen Gehörs ( Art. 29 Abs. 2 BV ) aufzuzeigen. Sie verkennt, dass sich aus dem rechtlichen Gehör kein Anspruch darauf ergibt, dass der Entscheid jedes einzelne Vorbringen ausdrücklich widerlegt. Inwiefern ihr die Begründung des angefochtenen Entscheids verunmöglicht hätte, diesen sachgerecht anzufechten, legt die Beschwerdeführerin nicht dar.</w:t>
      </w:r>
    </w:p>
    <w:p>
      <w:r>
        <w:rPr>
          <w:b/>
        </w:rPr>
        <w:t>E. 4.3.1</w:t>
      </w:r>
    </w:p>
    <w:p>
      <w:r>
        <w:t>Die Vorinstanz trat auf die von der Beschwerdeführerin gegen die erstinstanzliche Besetzung des Spruchkörpers erhobenen Vorbringen mangels hinreichender Begründung nicht ein. Sie erwog, die Beschwerdeführerin lege nicht dar, inwiefern die einschlägigen kantonalen Organisations- und Verfahrensvorschriften verletzt worden sein sollen, sondern begnüge sich mit einem blossen Hinweis auf § 23 Abs. 1 des kantonalen Gesetzes vom 26. August 2010 über die Organisation der Zivil- und Strafrechtspflege (Gerichtsorganisationsgesetz, GOG/ZG; BGS 161.1) und § 3 Abs. 3 sowie § 6 Abs. 1 lit. d der Geschäftsordnung des Kantonsgerichts vom 6. September 2010 (BGS 161.111), ohne sich weiter mit diesen Bestimmungen auseinanderzusetzen.</w:t>
      </w:r>
    </w:p>
    <w:p>
      <w:r>
        <w:rPr>
          <w:b/>
        </w:rPr>
        <w:t>E. 4.3.2</w:t>
      </w:r>
    </w:p>
    <w:p>
      <w:r>
        <w:t>Die Beschwerdeführerin vermag mit ihrem Hinweis auf Randziffern 6 und 7 ihrer Berufungsschrift keine Gehörsverletzung aufzuzeigen. Aus den zitierten Ausführungen ergeben sich keine hinreichend begründeten Rügen einer Verletzung der einschlägigen kantonalen Vorschriften. Vielmehr führte die Beschwerdeführerin § 23 Abs. 1 GOG und § 3 Abs. 3 sowie § 6 Abs. 1 lit. d der Geschäftsordnung des Kantonsgerichts lediglich als Belegstellen für ihr Vorbringen auf, nach den im Kanton Zug geltenden gesetzlichen Bestimmungen würden die Geschäfte durch den Abteilungspräsidenten an die Einzelrichter verteilt, was nicht mit den Vorgaben von Art. 6 EMRK vereinbar sei. Ein Zusammenhang mit dem zu beurteilenden Fall, in dem in erster Instanz nicht ein Einzelrichter, sondern die 3. Abteilung des Kantonsgerichts in Dreierbesetzung urteilte, ist nicht erkennbar.</w:t>
      </w:r>
    </w:p>
    <w:p>
      <w:r>
        <w:t>Der Vorwurf der Verletzung des rechtlichen Gehörs ist auch in diesem Zusammenhang unbegründet. Auf die Eventualbegründung der Vorinstanz, wonach die Beanstandung der Zusammensetzung der Erstinstanz verspätet erfolgt sei, braucht daher nicht eingegangen zu werden.</w:t>
      </w:r>
    </w:p>
    <w:p>
      <w:r>
        <w:rPr>
          <w:b/>
        </w:rPr>
        <w:t>E. 4.4</w:t>
      </w:r>
    </w:p>
    <w:p>
      <w:r>
        <w:t>Auch hinsichtlich der im Berufungsverfahren erhobenen Rüge, es hätte ihr an der Hauptverhandlung Gelegenheit zu einem Schlussvortrag gegeben werden müssen, zeigt die Beschwerdeführerin keine Gehörsverletzung auf mit der blossen Behauptung, sie habe entgegen der vorinstanzlichen Erwägung sehr wohl detailliert dargelegt, weshalb die Erstinstanz gegen Art. 6 EMRK verstossen habe. Soweit sich die Vorinstanz materiell mit den erhobenen Vorbringen auseinandersetzt, kann zudem auf die zutreffenden Erwägungen im angefochtenen Entscheid verwiesen werden. Aus den Vorbringen in Ziffer 9 der Berufungsschrift, auf die sich die Beschwerdeführerin in ihrer Beschwerde ausdrücklich beruft, geht im Übrigen hervor, dass die Verhandlung nach den Parteivorträgen geschlossen worden war und das Kantonsgericht ausdrücklich darauf hinwies, es werde entweder eine Beweisverfügung folgen oder ein Entscheid in der Sache ergehen; zudem reichte ihr Rechtsvertreter dem Gericht seine Honorarnote ein. Nachdem auf die Durchführung eines Beweisverfahrens verzichtet und dem Rechtsvertreter der Beschwerdeführerin Gelegenheit zu zwei Parteivorträgen gegeben worden war, leuchtet nicht ein, zu was die Beschwerdeführerin noch hätte Stellung nehmen wollen.</w:t>
      </w:r>
    </w:p>
    <w:p>
      <w:r>
        <w:t>Die Rüge der Gehörsverletzung ist auch in dieser Hinsicht unbegründet.</w:t>
      </w:r>
    </w:p>
    <w:p>
      <w:r>
        <w:rPr>
          <w:b/>
        </w:rPr>
        <w:t>E. 5</w:t>
      </w:r>
    </w:p>
    <w:p>
      <w:r>
        <w:t>Die Beschwerde ist im Verfahren nach Art. 109 Abs. 2 lit. a BGG abzuweisen, soweit darauf eingetreten werden kann. Die Beschwerdeführerin wird bei diesem Ausgang des Verfahrens kostenpflichtig ( Art. 66 Abs. 1 BGG ). Eine Parteientschädigung ist nicht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