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4A_3/2012 vom 27. Juni 2012</w:t>
      </w:r>
    </w:p>
    <w:p>
      <w:r>
        <w:t>Bundesgericht, 2012-06-27, DE</w:t>
      </w:r>
    </w:p>
    <w:p>
      <w:r>
        <w:rPr>
          <w:b/>
        </w:rPr>
        <w:t xml:space="preserve">Quelle: </w:t>
      </w:r>
      <w:r>
        <w:t>https://mcp.opencaselaw.ch/entscheid/bger_4A_3_2012</w:t>
      </w:r>
    </w:p>
    <w:p>
      <w:r>
        <w:t>FR: TF 4A_3/2012 du 27 juin 2012</w:t>
      </w:r>
    </w:p>
    <w:p>
      <w:r>
        <w:t>IT: TF 4A_3/2012 del 27 giugno 2012</w:t>
      </w:r>
    </w:p>
    <w:p>
      <w:pPr>
        <w:pStyle w:val="Heading2"/>
      </w:pPr>
      <w:r>
        <w:t>Erwägungen</w:t>
      </w:r>
    </w:p>
    <w:p>
      <w:r>
        <w:rPr>
          <w:b/>
        </w:rPr>
        <w:t>E. 1</w:t>
      </w:r>
    </w:p>
    <w:p>
      <w:r>
        <w:t>Die Beschwerde ist in der dafür vom Gesetz vorgesehenen Frist zu begründen ( Art. 100 BGG ). Binnen der vom Gericht angesetzten Frist sind Bemerkungen zu den Vernehmlassungen statthaft, soweit erst diese dazu Anlass geben. Ein Gesuch um Anordnung vorsorglicher Massnahmen kann auch während laufendem Verfahren noch gestellt oder neu begründet werden, namentlich wenn neue Umstände eintreten, die nach Auffassung des Gesuchstellers vorsorgliche Massnahmen als angezeigt erscheinen lassen. Von diesen Ausnahmen abgesehen, können nachträgliche Eingaben nicht berücksichtigt werden.</w:t>
      </w:r>
    </w:p>
    <w:p>
      <w:r>
        <w:rPr>
          <w:b/>
        </w:rPr>
        <w:t>E. 1.1</w:t>
      </w:r>
    </w:p>
    <w:p>
      <w:r>
        <w:t>Beim angefochtenen Entscheid handelt es sich um einen kantonal letztinstanzlichen, selbstständig eröffneten Zwischenentscheid über ein Ausstandsbegehren, der beim Bundesgericht angefochten werden kann ( Art. 92 Abs. 2 BGG ). Der für die Zulässigkeit des Rechtsmittels massgebende Streitwert bestimmt sich nach den Begehren, die vor der Instanz streitig sind, wo die Hauptsache hängig ist ( Art. 51 Abs. 1 lit. c BGG ). Das Streitwerterfordernis für eine Beschwerde in Zivilsachen von Fr. 15'000.-- ( Art. 74 Abs. 1 lit. a BGG ) ist angesichts des vom Beschwerdeführer im kantonalen Verfahren behaupteten Mietzinses von Fr. 1'000.-- inkl. Nebenkosten offensichtlich erreicht ( Art. 51 Abs. 4 BGG ). Auf die subsidiäre Verfassungsbeschwerde ist daher nicht einzutreten ( Art. 113 BGG ).</w:t>
      </w:r>
    </w:p>
    <w:p>
      <w:r>
        <w:rPr>
          <w:b/>
        </w:rPr>
        <w:t>E. 1.2</w:t>
      </w:r>
    </w:p>
    <w:p>
      <w:r>
        <w:t>Keine Folge zu geben ist dem Gesuch des Beschwerdeführers, die Schlichtungsstelle im Sinne einer vorsorglichen Massnahme anzuweisen, das Verfahren ohne C.________ fortzuführen. Damit hätte der Beschwerdeführer erreicht, dass dem Ausstandsgesuch stattgegeben würde, selbst wenn es sich als unbegründet erweisen sollte. Dass die umstrittene Frage des Bestands eines Mietverhältnisses dringend der Klärung bedarf, zeigt der Beschwerdeführer nicht hinreichend auf. Das allgemeine Interesse an einer beförderlichen Behandlung der Streitsache reicht dazu nicht aus. Dem wird vielmehr mit der selbständigen Anfechtbarkeit des Zwischenentscheides nach Art. 92 Abs. 2 BGG hinreichend Rechnung getragen. Sollte die Aufforderung des Beschwerdeführers, das Verfahren vor der Schlichtungsstelle wieder in Gang zu bringen, dahin zu verstehen sein, dass er eventuell die vorsorgliche Durchführung der Schlichtungsverhandlung unter Teilnahme von C.________ beantragt, wäre dem Begehren nicht stattzugeben, ist es doch gerade der Sinn von Art. 92 Abs. 2 BGG , wenn möglich über die Frage des Ausstands Klarheit zu schaffen, bevor das Verfahren seinen Fortgang nimmt.</w:t>
      </w:r>
    </w:p>
    <w:p>
      <w:r>
        <w:rPr>
          <w:b/>
        </w:rPr>
        <w:t>E. 2</w:t>
      </w:r>
    </w:p>
    <w:p>
      <w:r>
        <w:t>Der Beschwerdeführer macht geltend, C.________ arbeite für eine Liegenschaftsverwaltung. Im Hinblick auf das Anstellungsverhältnis bei einer Liegenschaftsverwaltung könne das betreffende Mitglied nicht als Mietervertreter angesehen werden. Die Schlichtungsstelle sei daher nicht vorschriftsgemäss zusammengesetzt gewesen. Zudem bestehe ein offenes Verfahren wegen einer Mietstreitigkeit zwischen ihm und der Liegenschaftsverwaltung. Der Beschwerdeführer macht mithin geltend, die Arbeitgeberin von C.________ sei in einem anderen, parallelen Verfahren Gegenpartei des Beschwerdeführers. Dies bilde einen Ausstandsgrund. In diesem Sinne habe sich auch der Kantonsgerichtspräsident anlässlich eines früheren Verfahrens einmal geäussert. Der Beschwerdeführer habe auf diese Aussage vertraut. Mit der Abkehr von seiner früheren Meinung verhalte sich der Gerichtspräsident widersprüchlich.</w:t>
      </w:r>
    </w:p>
    <w:p>
      <w:r>
        <w:rPr>
          <w:b/>
        </w:rPr>
        <w:t>E. 2.1</w:t>
      </w:r>
    </w:p>
    <w:p>
      <w:r>
        <w:t>Mit Blick auf die korrekte Zusammensetzung erachtete die Vorinstanz als wesentlich, dass C.________ von Mieterseite zur Wahl empfohlen worden sei. Dass sie für eine Liegenschaftsverwaltung arbeite, sei unerheblich. Mit Bezug auf das Ausstandsbegehren hielt die Vorinstanz fest, das Kantonsgericht habe weder den Sachverhalt willkürlich festgestellt noch die Tragweite der Ausstandsbestimmungen von Art. 47 Abs. 1 lit. f ZPO verkannt, weshalb kein Beschwerdegrund nach Art. 320 ZPO gegeben sei. Das Kantonsgericht hatte erkannt, C.________ trete im Verfahren zwischen dem Beschwerdeführer und der Immobilienverwaltung nicht auf. Sie arbeite im Teilpensum, übe keine operativen Entscheidkompetenzen aus und habe ihre Stellung erst angetreten, als das entsprechende Verfahren seit langem anhängig war. Der Beschwerdeführer zeige keine Gründe auf, welche ihre Unabhängigkeit in Frage stellen würden, sondern stelle pauschal auf das Arbeitsverhältnis ab. Das Ausstandsbegehren sei zu wenig substanziiert.</w:t>
      </w:r>
    </w:p>
    <w:p>
      <w:r>
        <w:rPr>
          <w:b/>
        </w:rPr>
        <w:t>E. 2.2</w:t>
      </w:r>
    </w:p>
    <w:p>
      <w:r>
        <w:t>Selbst wenn der Kantonsgerichtspräsident in einem vorhergehenden Verfahren die Meinung geäussert haben sollte, es liege ein Ausstandsgrund vor, bleibt es ihm unbenommen, eine abweichende Auffassung zu vertreten, wenn er die Frage konkret zu entscheiden hat. Wird eine Frage in einem Verfahren nicht rechtskräftig beurteilt, kann der Rechtsuchende nicht darauf vertrauen, sie werde in einem anderen Verfahren in einem bestimmten Sinn entschieden. Die Rüge widersprüchlichen Verhaltens ist unbegründet.</w:t>
      </w:r>
    </w:p>
    <w:p>
      <w:r>
        <w:rPr>
          <w:b/>
        </w:rPr>
        <w:t>E. 2.3</w:t>
      </w:r>
    </w:p>
    <w:p>
      <w:r>
        <w:t>Der Ausstand von Gerichtspersonen ist in Art. 47 ZPO geregelt. Diese Bestimmung gilt auch für die Mitglieder der Schlichtungsbehörde. Mit Art. 47 ZPO wird der verfassungsmässige Anspruch auf ein unparteiisches Gericht ( Art. 30 Abs. 1 BV ) konkretisiert, weshalb die zu dieser Bestimmung ergangene Rechtsprechung weiterhin Geltung hat (Botschaft zur ZPO, BBl 2006 7272 Ziff. 5.2.3 zu Art. 45 E-ZPO). 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134 I 238 E. 2.1 S. 240).</w:t>
      </w:r>
    </w:p>
    <w:p>
      <w:r>
        <w:t>Die Garantie des verfassungsmässigen Richters wird bereits verletzt, wenn bei objektiver Betrachtung Gegebenheiten vorliegen, die den Anschein der Befangenheit oder die Gefahr der Voreingenommenheit zu begründen vermögen ( BGE 136 I 207 E. 3.1 S. 210 mit Hinweisen).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134 I 238 E. 2.1 S. 240 mit Hinweisen).</w:t>
      </w:r>
    </w:p>
    <w:p>
      <w:r>
        <w:rPr>
          <w:b/>
        </w:rPr>
        <w:t>E. 2.4</w:t>
      </w:r>
    </w:p>
    <w:p>
      <w:r>
        <w:t>C.________ steht zu ihrer Arbeitgeberin in einem Abhängigkeitsverhältnis. Da sich der Beschwerdeführer im Rahmen eines anderen Verfahrens in einem Rechtsstreit mit der Arbeitgeberin von C.________ befindet, ist die Anstellung objektiv geeignet, beim Beschwerdeführer den Eindruck zu erwecken, C.________ könnte über jenes Verfahren im Bilde sein, sich aufgrund der Nähe zu ihrer Arbeitgeberin mit deren Standpunkt identifizieren und daher ihm gegenüber Vorbehalte hegen, die sie im hier zu beurteilenden Rechtsstreit beeinflussen könnten. Damit ist seine Befürchtung, ein sachfremdes Element könnte in die Entscheidfindung einfliessen, objektiv begründet. Die vom Kantonsgericht dagegen angeführten Umstände ändern daran nichts. Auch wenn das betreffende Verfahren im Zeitpunkt des Stellenantritts bereits längere Zeit hängig war, C.________ es nicht selbst führt und nur in Teilzeit ohne Entscheidkompetenz für die Gegenpartei des Beschwerdeführers arbeitet, ist nicht auszuschliessen, dass sie an ihrem Arbeitsplatz aus Sicht ihrer Arbeitgeberin über das Verfahren informiert wird. Vom Beschwerdeführer kann nicht verlangt werden, dass er bezüglich der Befangenheit konkretere Angaben macht. Wie das Arbeitsverhältnis ausgestaltet ist, kann der Rechtsuchende in der Regel nicht wissen. Es ist an der Gerichtsperson, die sich dem Ausstandsbegehren widersetzt, im Einzelnen aufzuzeigen, dass aufgrund der konkreten Ausgestaltung des Arbeitsverhältnisses und der Art und Bedeutung des Rechtsstreites objektiv kein Anlass zu Misstrauen in ihre Unparteilichkeit besteht. Entsprechende Umstände sind nicht festgestellt. Damit ist das Anstellungsverhältnis objektiv geeignet, Misstrauen in die Unparteilichkeit von C.________ zu erwecken.</w:t>
      </w:r>
    </w:p>
    <w:p>
      <w:r>
        <w:rPr>
          <w:b/>
        </w:rPr>
        <w:t>E. 2.5</w:t>
      </w:r>
    </w:p>
    <w:p>
      <w:r>
        <w:t>Da sich das Ausstandsbegehren als begründet erweist, ist das Verfahren in jedem Fall ohne das abgelehnte Mitglied fortzuführen. Damit hat der Beschwerdeführer kein Rechtsschutzinteresse mehr an der Klärung der Frage, ob der Tatsache, dass das abgelehnte Mitglied bei einer Immobilienverwaltung tätig ist, mit Bezug auf die korrekte Zusammensetzung der Schlichtungsbehörde Bedeutung zukommt. Insoweit ist auf die Beschwerde nicht einzutreten.</w:t>
      </w:r>
    </w:p>
    <w:p>
      <w:r>
        <w:rPr>
          <w:b/>
        </w:rPr>
        <w:t>E. 3</w:t>
      </w:r>
    </w:p>
    <w:p>
      <w:r>
        <w:t>Die Beschwerde erweist sich mit Bezug auf das Ausstandsbegehren als begründet. In Abänderung des Urteils der Vorinstanz ist die Beschwerde gegen den Entscheid des Kantonsgerichts teilweise gutzuheissen, dem Ausstandsbegehren statt zu geben und die Schlichtungsverhandlung ohne C.________ durchzuführen. Im Übrigen ist auf die Beschwerde nicht einzutreten. Der Beschwerdegegner hat sich nicht vernehmen lassen, weshalb er vor Bundesgericht nicht als unterliegende Partei zu gelten hat. Daher sind keine Gerichtskosten zu erheben ( Art. 66 Abs. 4 BGG ). Der Beschwerdeführer ist nicht anwaltlich vertreten, weshalb ihm keine Parteientschädigung zuzusprechen ist ( Art. 68 Abs. 1 und 2 BGG ; BGE 133 III 439 E. 4 S. 446 mit Hinweis), zumal es sich nicht um eine komplizierte Sache gehandelt hat, und die Interessenwahrung keinen Arbeitsaufwand erforderte, der den Rahmen dessen überschreitet, was der einzelne üblicher- und zumutbarerweise nebenbei zur Besorgung der persönlichen Angelegenheiten auf sich zu nehmen hat (vgl. BGE 110 V 72 E. 7 S. 82, 132 E. 4d S. 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