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4A_39/2024 vom 8. Februar 2024</w:t>
      </w:r>
    </w:p>
    <w:p>
      <w:r>
        <w:t>Bundesgericht, 2024-02-08, DE</w:t>
      </w:r>
    </w:p>
    <w:p>
      <w:r>
        <w:rPr>
          <w:b/>
        </w:rPr>
        <w:t xml:space="preserve">Quelle: </w:t>
      </w:r>
      <w:r>
        <w:t>https://mcp.opencaselaw.ch/entscheid/bger_4A_39_2024</w:t>
      </w:r>
    </w:p>
    <w:p>
      <w:r>
        <w:t>FR: TF 4A_39/2024 du 8 février 2024</w:t>
      </w:r>
    </w:p>
    <w:p>
      <w:r>
        <w:t>IT: TF 4A_39/2024 del 8 febbraio 2024</w:t>
      </w:r>
    </w:p>
    <w:p>
      <w:pPr>
        <w:pStyle w:val="Heading2"/>
      </w:pPr>
      <w:r>
        <w:t>Erwägungen</w:t>
      </w:r>
    </w:p>
    <w:p>
      <w:r>
        <w:rPr>
          <w:b/>
        </w:rPr>
        <w:t>E. 1</w:t>
      </w:r>
    </w:p>
    <w:p>
      <w:r>
        <w:t>Mit Entscheid vom 10. November 2023 verpflichtete der Einzelrichter des Bezirksgerichts Willisau den Beschwerdeführer und die Verfahrensbeteiligte, innert zehn Tagen seit Rechtskraft des Entscheids die 4.5-Zimmer-Wohnung im Erdgeschoss in der Liegenschaft X.________, U.________, vollständig zu räumen, zu reinigen und zu verlassen und der Beschwerdegegnerin sämtliche Schlüssel des Mietobjekts zurückzugeben.</w:t>
      </w:r>
    </w:p>
    <w:p>
      <w:r>
        <w:t>Mit Urteil vom 21. Dezember 2023 wies das Kantonsgericht Luzern die vom Beschwerdeführer gegen den bezirksgerichtlichen Entscheid vom 10. November 2023 erhobene Berufung ab, soweit es darauf eintrat, und bestätigte den erstinstanzlichen Entscheid.</w:t>
      </w:r>
    </w:p>
    <w:p>
      <w:r>
        <w:t>Mit Eingabe vom 19. Januar 2024 erklärte der Beschwerdeführer dem Bundesgericht, den Entscheid des Kantonsgerichts Luzern vom 21. Dezember 2023 mit Beschwerde anfechten zu wollen.</w:t>
      </w:r>
    </w:p>
    <w:p>
      <w:r>
        <w:t>Mit Eingabe vom 24. Januar 2024 beantragte er zudem, es sei ihm für das bundesgerichtliche Verfahren die unentgeltliche Rechtspflege zu gewähren.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seiner Beschwerdeeingabe vom 19. Januar 2024 nicht hinreichend mit den eingehenden Erwägungen des angefochtenen Entscheids des Kantonsgerichts Luzern vom 21. Dezember 2023 auseinander und zeigt nicht rechtsgenügend auf, inwiefern die Vorinstanz mit ihrem Entscheid Bundesrecht verletzt hätte. Er wiederholt teilweise lediglich seine bereits im kantonalen Verfahren vorgetragenen Ausführungen und unterbreitet dem Bundesgericht im Übrigen in unzulässiger Weise seine eigene Sicht der Dinge.</w:t>
      </w:r>
    </w:p>
    <w:p>
      <w:r>
        <w:t>Auf die Beschwerde ist somit mangels hinreichender Begründung nicht einzutreten ( Art. 108 Abs. 1 lit. b BGG ).</w:t>
      </w:r>
    </w:p>
    <w:p>
      <w:r>
        <w:rPr>
          <w:b/>
        </w:rPr>
        <w:t>E. 3</w:t>
      </w:r>
    </w:p>
    <w:p>
      <w:r>
        <w:t>Das Gesuch um Gewährung der unentgeltlichen Rechtspflege für das bundesgerichtliche Verfahren ist bereits wegen Aussichtslosigkeit abzuweisen ( Art. 64 Abs. 1 BGG ). Der Beschwerdeführer wird bei diesem Verfahrensausgang kostenpflichtig ( Art. 66 Abs. 1 BGG ). Der Beschwerdegegnerin und der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