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4A_39/2020 vom 17. April 2020</w:t>
      </w:r>
    </w:p>
    <w:p>
      <w:r>
        <w:t>Bundesgericht, 2020-04-17, DE</w:t>
      </w:r>
    </w:p>
    <w:p>
      <w:r>
        <w:rPr>
          <w:b/>
        </w:rPr>
        <w:t xml:space="preserve">Quelle: </w:t>
      </w:r>
      <w:r>
        <w:t>https://mcp.opencaselaw.ch/entscheid/bger_4A_39_2020</w:t>
      </w:r>
    </w:p>
    <w:p>
      <w:r>
        <w:t>FR: TF 4A_39/2020 du 17 avril 2020</w:t>
      </w:r>
    </w:p>
    <w:p>
      <w:r>
        <w:t>IT: TF 4A_39/2020 del 17 aprile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Endentscheid ( Art. 90 BGG ) eines kantonalen Gerichts, das in einer Zivilsache ( Art. 72 BGG ) die Anträge der Beschwerdeführerin (teilweise) abgewiesen hat ( Art. 76 BGG ). Die Vorinstanz hat als einzige kantonale Instanz entschieden ( Art. 5 Abs. 1 lit. a ZPO i.V.m. Art. 75 Abs. 2 lit. a BGG ), weshalb die Beschwerde in Zivilsachen unabhängig von der Erreichung der Streitwertgrenze von Art. 74 Abs. 1 BGG zulässig ist ( Art. 74 Abs. 2 lit. b BGG ). Die Beschwerdefrist ( Art. 100 BGG ) ist eingehalten.</w:t>
      </w:r>
    </w:p>
    <w:p>
      <w:r>
        <w:t>Auf die Beschwerde ist vorbehältlich einer hinreichenden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w:t>
      </w:r>
    </w:p>
    <w:p>
      <w:r>
        <w:t>Die Beschwerdeführerin wirft der Vorinstanz vor, die Verbindlichkeit des genehmigten Tarifs GT 9 samt der darin statuierten Genehmigungsfiktion nach Art. 59 Abs. 3 URG (SR 231.1) missachtet und aus der Verletzung der Auskunftspflicht ( Art. 51 Abs. 1 URG ) durch die Beschwerdegegnerin unzutreffende Schlüsse gezogen zu haben.</w:t>
      </w:r>
    </w:p>
    <w:p>
      <w:r>
        <w:rPr>
          <w:b/>
        </w:rPr>
        <w:t>E. 2.1</w:t>
      </w:r>
    </w:p>
    <w:p>
      <w:r>
        <w:t>Die Vorinstanz ging in tatsächlicher Hinsicht davon aus, dass der Beschwerdegegnerin das Erhebungsformular für das Jahr 2015 zugestellt wurde. Zudem stellte sie fest, dass die Beschwerdegegnerin der Beschwerdeführerin nach der Zustellung des Erhebungsformulars die für die Rechnungsstellung im Jahre 2015 notwendigen Angaben wie Anzahl Mitarbeitende, Gesamtkopiermenge, Branche usw. pflichtwidrig nicht meldete. Weil die Beschwerdegegnerin ihrer Auskunftspflicht nicht nachgekommen sei, sei die Beschwerdeführerin nach Ziffer 8.3 GT 8 VI und Ziffer 8.3 GT 9 VI zur Einschätzung und zur Rechnungsstellung berechtigt gewesen. Die Beschwerdegegnerin gestehe zu, am 17. März 2015 auch die Annahme der eingeschrieben versandten Einschätzung vom 13. März 2015 ausdrücklich verweigert zu haben. Sie schulde der Beschwerdeführerin somit grundsätzlich eine Vergütung für das Jahr 2015. Für die Jahre 2016, 2017 und 2018 habe die Beschwerdeführerin zudem nach Ziffer 8.1 und 8.2 lit. a GT 8 und 9 auf die Angaben des Vorjahres abstellen dürfen. Die Zustellung der entsprechenden Rechnungen habe die Beschwerdegegnerin nicht bestritten. Ebenso wenig habe sie behauptet, die gestellten Rechnungen beanstandet und eine Anpassung der Berechnungsgrundlagen verlangt zu haben. Somit sei der Vergütungsanspruch der Beschwerdeführerin auch für die Jahre 2016 bis 2018 grundsätzlich ausgewiesen. Der von der Beschwerdeführerin geltend gemachte tarifliche Ansatz für "Informatik" sei angesichts des statutarischen Zwecks der Beschwerdegegnerin ( "Produktion von CD- und DVD-Datenträgern sowie Erbringen von sämtlichen Dienstleistungen in diesem Zusammenhang") nicht zu beanstanden.</w:t>
      </w:r>
    </w:p>
    <w:p>
      <w:r>
        <w:t>Die Beschwerdegegnerin habe bestätigt, über einen Drucker zu verfügen. Damit erfülle sie die Voraussetzungen von Ziffer 3.3 des Tarifs, wonach unter "Vervielfältigen" das Herstellen von ein- und mehrfarbigen Kopien geschützter und veröffentlichter Werke oder Teilen davon verstanden werde. Sie sei somit gemäss GT 8 VI und GT 8 VII vergütungspflichtig. Demgegenüber sei die klägerische Behauptung, dass die Beschwerdegegnerin ein Netzwerk besitze, im Verfahren bestritten und von der Beschwerdeführerin nicht weiter substanziiert oder bewiesen worden, obwohl sie dafür in Anwendung von Art. 8 ZGB beweisbelastet sei, weshalb die Behauptung unbewiesen bleibe. Ohne Netzwerk falle die Beschwerdegegnerin nicht unter die Vergütungspflicht im Sinne des GT 9 VI bzw. des GT 9 VII. Eine bloss im Tarifrecht vorgesehene Anerkennung der Schätzung sei in diesem Fall unbeachtlich. Somit habe die Beschwerdeführerin gegenüber der Beschwerdegegnerin keinen Anspruch auf Vergütung gemäss GT 9 VI und GT 9 VII.</w:t>
      </w:r>
    </w:p>
    <w:p>
      <w:r>
        <w:rPr>
          <w:b/>
        </w:rPr>
        <w:t>E. 2.2.1</w:t>
      </w:r>
    </w:p>
    <w:p>
      <w:r>
        <w:t>Veröffentlichte Werke dürfen nach Art. 19 Abs. 1 URG zum Eigengebrauch verwendet werden. Erlaubt ist dabei insbesondere das Vervielfältigen von Werkexemplaren in Betrieben für die interne Information oder Dokumentation ( Art. 19 Abs. 1 lit. c URG ). Für diese Form des Eigengebrauchs schuldet der Nutzer dem Urheber eine Vergütung ( Art. 20 Abs. 2 URG ). Diese Kopiervergütung soll die Urheber an den Erträgen von unkontrollierbaren Massennutzungen ihrer Werke teilhaben lassen ( BGE 125 III 141 E. 3 S. 142). Dafür sieht das Gesetz zwingend die kollektive Verwertung vor: Die Vergütungsansprüche können nur von zugelassenen Verwertungsgesellschaften geltend gemacht werden ( Art. 20 Abs. 4 URG ). Die Verwertungsgesellschaften, die für diesen Aufgabenbereich unter Bundesaufsicht stehen ( Art. 40 Abs. 1 lit. b und Art. 52 ff. URG ), sind verpflichtet, gestützt auf entsprechende Tarife (Art. 46 f. und Art. 55 ff. URG ) die Vergütungsansprüche wahrzunehmen ( Art. 44 URG ). Sie müssen ihre Geschäfte nach den Grundsätzen einer geordneten und wirtschaftlichen Verwaltung führen und haben die Verwertung nach festen Regeln und nach dem Gebot der Gleichbehandlung zu besorgen ( Art. 45 Abs. 1 und 2 URG ).</w:t>
      </w:r>
    </w:p>
    <w:p>
      <w:r>
        <w:t>Die Verwertungsgesellschaften stellen für die von ihnen geforderten Vergütungen Tarife auf ( Art. 46 Abs. 1 URG ). Sie verhandeln über die Gestaltung der einzelnen Tarife mit den massgebenden Nutzerverbänden ( Art. 46 Abs. 2 URG ) und legen die Tarife anschliessend der Eidgenössischen Schiedskommission für die Verwertung von Urheberrechten und verwandten Schutzrechten ( Art. 55 URG ) zur Genehmigung vor; daraufhin veröffentlichen sie die genehmigten Tarife ( Art. 46 Abs. 3 URG ). Gemäss Art. 59 Abs. 3 URG sind rechtskräftig genehmigte Tarife für die Gerichte verbindlich. Diese Vorschrift dient der Rechtssicherheit: Sie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durch die Schiedskommission kann nicht Vergütungsansprüche schaffen, die mit zwingenden gesetzlichen Vorschriften unvereinbar sind. Im Streitfall bleiben demnach die Zivilgerichte befugt und verpflichtet, darüber zu wachen, dass aus den Tarifen im Einzelfall keine gesetzwidrigen Vergütungsansprüche abgeleitet werden ( BGE 140 II 483 E. 5.2 S. 489 f. mit Hinweisen).</w:t>
      </w:r>
    </w:p>
    <w:p>
      <w:r>
        <w:rPr>
          <w:b/>
        </w:rPr>
        <w:t>E. 2.2.2</w:t>
      </w:r>
    </w:p>
    <w:p>
      <w:r>
        <w:t>In den Tarifen der Verwertungsgesellschaften werden neben dem Entgelt für die Nutzung der der Verwertungsgesetzgebung unterstehenden Rechte regelmässig auch die Auskunftspflichten der Nutzer bzw. die Modalitäten der Rechnungsstellung festgelegt (Urteil 4A_382/2019 vom 11. Dezember 2019 E. 3.3.2; DENIS BARRELET/ DIETER MEIER, in: Barrelet/Egloff [Hrsg.], Das neue Urheberrecht, 4. Aufl. 2020, N. 5 zu Art. 51 URG ; BREM/SALVADÉ/WILD, in: Handkommentar zum Urheberrechtsgesetz, 2. Aufl. 2012, N. 2 zu Art. 46 URG ; VINCENT SALVADÉ, in: Commentaire romand, Propriété intellectuelle, 2013, N. 3 zu Art. 46 URG ). In diesem Sinne statuiert auch der zur Diskussion stehende Tarif GT 9 VI bzw. GT 9 VII was folgt:</w:t>
      </w:r>
    </w:p>
    <w:p>
      <w:r>
        <w:t>"8.3 Werden die notwendigen Angaben nach einer schriftlichen Mahnung auch innert Nachfrist nicht eingereicht, kann die ProLitteris die Angaben schätzen und gestützt darauf Rechnung stellen. Gibt der Nutzer die für die Berechnung notwendigen Angaben innerhalb von 30 Tagen nach Zustellung der Schätzung nicht schriftlich bekannt, gilt die Schätzung als anerkannt. Die Rechnung stützt sich auf die Berechnungsgrundlagen der Einschätzung. Die ProLitteris verlangt für den zusätzlichen Verwaltungsaufwand in jedem Fall einen Zuschlag von 10% auf die geschuldete Vergütung, mindestens jedoch CHF 100.00. [...]</w:t>
      </w:r>
    </w:p>
    <w:p>
      <w:r>
        <w:t>8.4 Die Nutzer sind gemäss Art. 51 URG verpflichtet, der ProLitteris auf deren Verlangen sämtliche ihnen zumutbaren Auskünfte im Zusammenhang mit der Anwendung und der Umsetzung dieses Tarifes zu geben. Die ProLitteris ist entsprechend berechtigt, über die Art und den Umfang der genutzten Werke und Leistungen bei den Nutzern stichprobenweise Auskünfte zu verlangen.</w:t>
      </w:r>
    </w:p>
    <w:p>
      <w:r>
        <w:t>[...]."</w:t>
      </w:r>
    </w:p>
    <w:p>
      <w:r>
        <w:t>Ziffer 6.7 GT 9 VI lautet wie folgt :</w:t>
      </w:r>
    </w:p>
    <w:p>
      <w:r>
        <w:t>"Nutzer, die über kein unter die Tarifpflicht fallendes Netzwerksystem verfügen, können auf einem vorgegebenen Formular der ProLitteris eine entsprechende schriftliche Mitteilung, versehen mit einer rechtsgültigen Unterschrift sowie der Kopie eines aktuellen Handelsregisterauszuges (soweit im Handelsregister eingetragen), zustellen. Für diese Nutzer entfällt eine Vergütungspflicht."</w:t>
      </w:r>
    </w:p>
    <w:p>
      <w:r>
        <w:t>Ziffer 8.5 GT 9 VII sieht zudem Folgendes vor:</w:t>
      </w:r>
    </w:p>
    <w:p>
      <w:r>
        <w:t>"Nutzer, die über kein Netzwerk verfügen, müssen das entsprechende Formular 'Erklärung kein Netzwerk' ausfüllen und können dies versehen mit einer rechtsgültigen Unterschrift und unter Beilage einer Kopie des Handelsregisterauszuges (soweit im Handelsregister eingetragen) an die ProLitteris retournieren.</w:t>
      </w:r>
    </w:p>
    <w:p>
      <w:r>
        <w:t>Nutzer haben die Einrede 'Kein Netzwerk' spätestens innerhalb von 30 Tagen nach Zustellung der Einschätzung gemäss Ziffer 8.3 geltend zu machen. Nach Ablauf dieser Frist gilt sowohl die Einschätzung als anerkannt, wie auch, dass ein Netzwerk im Sinne dieses Tarifs vorhanden ist. Die Einrede 'Kein Netzwerk' kann in diesem Fall nicht mehr geltend gemacht werden."</w:t>
      </w:r>
    </w:p>
    <w:p>
      <w:r>
        <w:rPr>
          <w:b/>
        </w:rPr>
        <w:t>E. 2.2.3</w:t>
      </w:r>
    </w:p>
    <w:p>
      <w:r>
        <w:t>Weshalb die tariflich vorgesehene Anerkennung der Schätzung aufgrund der erst im Rahmen des vorinstanzlichen Verfahrens erhobenen Behauptung der Beschwerdegegnerin, sie verfüge über kein Netzwerk, unbeachtlich sein soll, wird im angefochtenen Entscheid nicht begründet und ist auch nicht ersichtlich. Die Auskunftspflicht nach Art. 51 URG zielt insbesondere darauf ab, die Position der Verwertungsgesellschaften gegenüber den Nutzern im Bereich der unkontrollierbaren Massennutzungen zu stärken. In diesem Bereich sind die Verwertungsgesellschaften in besonderem Masse auf die Mitwirkung der Nutzer angewiesen. Diese sind daher gesetzlich dazu verpflichtet, den Verwertungsgesellschaften die für die Ermittlung des anzuwendenden Tarifs erforderlichen Angaben zu machen (CARLO GOVONI/ANDREAS STEBLER, in: Schweizerisches Immaterialgüter- und Wettbewerbsrecht [SIWR] II/1, 3. Aufl. 2014, Rz. 1413 f.). Eine fehlende oder mangelhafte Mitwirkung kann in der Tarifgestaltung berücksichtigt werden (Botschaft vom 19. Juni 1989 zu einem Bundesgesetz über das Urheberrecht und verwandte Schutzrechte, BBl 1989 III 561 Ziff. 214.4; vgl. auch BARRELET/MEIER, a.a.O., N. 10 zu Art. 51 URG ).</w:t>
      </w:r>
    </w:p>
    <w:p>
      <w:r>
        <w:t>Bei der Vorgabe in Ziffer 6.7 GT 9 VI bzw. Ziffer 8.5 GT 9 VII, bei Fehlen eines Netzwerks dies der Beschwerdeführerin mit dem vorgesehenen Formular mitzuteilen, handelt es sich um eine zulässige Konkretisierung der in Art. 51 URG statuierten Auskunftspflicht (Urteil 4A_382/2019 vom 11. Dezember 2019 E. 3; vgl. auch Urteil 4A_418/2007 vom 13. Dezember 2007 E. 4). Inwiefern diese tarifliche Auskunftspflicht und die Verbindlichkeit der erfolgten Einschätzung bei Ausbleiben der entsprechenden Erklärung innert der Frist von 30 Tagen mit zwingenden gesetzlichen Vorschriften unvereinbar sein soll, ist nicht ersichtlich. Die Beschwerdeführerin wies die Beschwerdegegnerin mit Einschätzung vom 13. März 2015 noch eigens auf die Möglichkeit hin, die erfolgte Einschätzung innerhalb von 30 Tagen durch Retournieren des beigelegten Fragebogens zu korrigieren, sowie darauf, dass bei Ausbleiben einer Antwort innert der 30-tägigen Frist die erfolgte Einschätzung als anerkannt gelte und der eingeschätzte Betrag in Rechnung gestellt werde. Indem die Vorinstanz - obwohl nach erfolgter Einschätzung keine entsprechende Erklärung seitens der Beschwerdegegnerin erfolgt war - die erst im Rahmen des vorinstanzlichen Verfahrens erhobene Bestreitung, über ein Netzwerk zu verfügen, berücksichtigte und mangels Beweises durch die Beschwerdeführerin eine Vergütungspflicht verneinte, missachtete sie die Geltung der tariflichen Bestimmungen. Diese tragen in zulässiger Weise den praktischen Schwierigkeiten Rechnung, mit denen die Erfassung von Massennutzungen urheberrechtlich geschützter Werke verbunden ist. Vergütungsansprüche, die mit zwingenden gesetzlichen Vorschriften unvereinbar wären, werden damit nicht geschaffen.</w:t>
      </w:r>
    </w:p>
    <w:p>
      <w:r>
        <w:t>Der Beschwerdeführerin steht daher gegenüber der Beschwerdegegnerin gestützt auf die anerkannte Schätzung ein Anspruch auf tarifliche Vergütung gemäss GT 9 VI und GT 9 VII zu. Die konkreten Beträge der Einschätzung sind nicht umstritten.</w:t>
      </w:r>
    </w:p>
    <w:p>
      <w:r>
        <w:rPr>
          <w:b/>
        </w:rPr>
        <w:t>E. 3</w:t>
      </w:r>
    </w:p>
    <w:p>
      <w:r>
        <w:t>In Gutheissung der Beschwerde ist der angefochtene Entscheid aufzuheben und die Beschwerdegegnerin zur Zahlung von Fr. 392.70 nebst Zins zu 5 % seit 9. Oktober 2018 zu verurteilen. Im Übrigen ist die Sache zur Neuregelung der Kosten- und Entschädigungsfolgen des kantonalen Verfahrens an die Vorinstanz zurückzuweisen (vgl. Art. 67 und Art.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