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399/2023 vom 15. September 2023</w:t>
      </w:r>
    </w:p>
    <w:p>
      <w:r>
        <w:t>Bundesgericht, 2023-09-15, DE</w:t>
      </w:r>
    </w:p>
    <w:p>
      <w:r>
        <w:rPr>
          <w:b/>
        </w:rPr>
        <w:t xml:space="preserve">Quelle: </w:t>
      </w:r>
      <w:r>
        <w:t>https://mcp.opencaselaw.ch/entscheid/bger_4A_399_2023</w:t>
      </w:r>
    </w:p>
    <w:p>
      <w:r>
        <w:t>FR: TF 4A 399/2023 du 15 septembre 2023</w:t>
      </w:r>
    </w:p>
    <w:p>
      <w:r>
        <w:t>IT: TF 4A 399/2023 del 15 settembre 2023</w:t>
      </w:r>
    </w:p>
    <w:p>
      <w:pPr>
        <w:pStyle w:val="Heading2"/>
      </w:pPr>
      <w:r>
        <w:t>Regeste</w:t>
      </w:r>
    </w:p>
    <w:p>
      <w:r>
        <w:t>Forderung aus Mietvertrag; Zwischenentscheid; Rechtsverzögerung, | Vertragsrecht</w:t>
      </w:r>
    </w:p>
    <w:p>
      <w:pPr>
        <w:pStyle w:val="Heading2"/>
      </w:pPr>
      <w:r>
        <w:t>Erwägungen</w:t>
      </w:r>
    </w:p>
    <w:p>
      <w:r>
        <w:rPr>
          <w:b/>
        </w:rPr>
        <w:t>E. 1</w:t>
      </w:r>
    </w:p>
    <w:p>
      <w:r>
        <w:t>Am 13. Dezember 2022 wandte sich die Beschwerdeführerin an die Schlichtungsbehörde in Mietsachen des Bezirks Meilen und forderte vom Beschwerdegegner Schadenersatz aus diversen Gründen, u.a. wegen Hausfriedensbruchs, Körperverletzung und Sachbeschädigungen. Da keine Einigung gefunden werden konnte, erteilte die Schlichtungsbehörde der Beschwerdeführerin mit Beschluss vom 27. Januar 2023 die Klagebewilligung. Mit Eingabe vom 6. März 2023 erhob die Beschwerdeführerin daraufhin Klage beim Mietgericht Meilen gegen den Beschwerdegegner. Das Bezirksgericht setzte der Beschwerdeführerin mit Zirkularbeschluss vom 10. Mai 2023 Frist an, um sich zum Eingangsdatum der Klagebewilligung zu äussern und geeignete Belege einzureichen sowie um ihre Klage im Sinne der Erwägungen rechtsgenügend zu unterzeichnen. Am 31. Mai 2023 erhob die Beschwerdeführerin Beschwerde beim Obergericht des Kantons Zürich. Das Obergericht trat mit Urteil vom 18. Juli 2023 auf die Beschwerde nicht ein, soweit sie sich gegen den Zirkularbeschluss vom 10. Mai 2023 richtete, da das Vorliegen der Beschwerdevoraussetzung eines drohenden nicht leicht wieder gutzumachenden Nachteils im Sinne von Art. 319 lit. b Ziff. 2 ZPO durch den angefochtenen Beschluss weder dargetan noch ersichtlich sei und da die Beschwerde insoweit auch den Anforderungen an die Begründung nicht genüge. Soweit sich die Beschwerdeführerin darüber beklagte, dass das Bezirksgericht das Klageverfahren im Sinne von Art. 319 lit. c ZPO verzögert habe, wies das Obergericht die Beschwerde ab. Die Beschwerdeführerin erhob gegen das Urteil vom 18. Juli 2023 mit Eingabe vom 22. August 2023 (überbracht) beim Bundesgericht Beschwerde. Auf die Einholung von Vernehmlassungen zur Beschwerde wurde verzichtet.</w:t>
      </w:r>
    </w:p>
    <w:p>
      <w:r>
        <w:rPr>
          <w:b/>
        </w:rPr>
        <w:t>E. 2</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detailliert und klar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Diesen Anforderungen an die Begründung genügt die vorliegende Beschwerde offensichtlich nicht. So unterbreitet die Beschwerdeführerin dem Bundesgericht in weitschweifigen Ausführungen im Wesentlichen bloss ihre Sicht der Dinge in der Hauptsache. Sie setzt sich aber nicht, jedenfalls nicht hinreichend mit der Begründung des Obergerichts auseinander, mit der dieses auf ihre Beschwerde gegen den Zirkularbeschluss des Bezirksgerichts Meilen vom 10. Mai 2023 nicht eintrat und mit der es eine Rechtsverzögerung verneinte, und zeigt nicht rechtsgenügend auf, inwiefern das Obergericht mit seinem darauf gestützten Entscheid Bundesrecht verletzt haben soll. Auf die Beschwerde ist somit mangels hinreichender Begründung nicht einzutreten ( Art. 108 Abs. 1 lit. b BGG ).</w:t>
      </w:r>
    </w:p>
    <w:p>
      <w:r>
        <w:rPr>
          <w:b/>
        </w:rPr>
        <w:t>E. 3</w:t>
      </w:r>
    </w:p>
    <w:p>
      <w:r>
        <w:t>Überdies schliesst der Zirkularbeschluss des Bezirksgerichts Meilen vom 10. Mai 2023 das erstinstanzliche Klageverfahren nicht ab und betrifft dieser weder die Zuständigkeit noch den Ausstand. Er stellt deshalb einen "anderen selbständig eröffneten" Zwischenentscheid im Sinne von Art. 93 Abs. 1 BGG dar. Der darüber ergangene, vorliegend angefochtene Rechtsmittelentscheid des Obergerichts vom 18. Juli 2023 ist seinerseits ein Zwischenentscheid nach Art. 93 Abs. 1 BGG (vgl. BGE 139 V 339 E. 3.2, 600 E. 2.1, 604 E. 2.1; Urteil 4A_542/2009 vom 27. April 2010 E. 3, je mit Hinweisen).</w:t>
      </w:r>
    </w:p>
    <w:p>
      <w:r>
        <w:rPr>
          <w:b/>
        </w:rPr>
        <w:t>E. 3.1</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aus prozessökonomischen Gründen bildet eine Ausnahme vom Grundsatz, dass sich das Bundesgericht mit jeder Angelegenheit nur einmal befassen soll ( BGE 144 III 475 E. 1.2; 141 III 80 E. 1.2; 134 III 188 E. 2.2; 133 III 629 E. 2.1).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133 III 629 E. 2.1; 133 IV 288 E. 3.2). Dementsprechend obliegt es der beschwerdeführenden Partei darzutun, dass die Voraussetzungen von Art. 93 Abs. 1 BGG erfüllt sind, soweit deren Vorliegen nicht offensichtlich in die Augen springt ( BGE 142 III 798 E. 2.2; 141 III 80 E. 1.2; 137 III 324 E. 1.1; 134 III 426 E. 1.2 in fine; 133 III 629 E. 2.3.1 und 2.4.2).</w:t>
      </w:r>
    </w:p>
    <w:p>
      <w:r>
        <w:rPr>
          <w:b/>
        </w:rPr>
        <w:t>E. 3.2</w:t>
      </w:r>
    </w:p>
    <w:p>
      <w:r>
        <w:t>Das Bundesgericht könnte bei einer Gutheissung der vorliegenden Beschwerde keinen Endentscheid im Hauptklageverfahren fällen, weshalb vorliegend die Zulässigkeit der Beschwerde nach Art. 93 Abs. 1 lit. b BGG von vornherein ausser Betracht fällt.</w:t>
      </w:r>
    </w:p>
    <w:p>
      <w:r>
        <w:rPr>
          <w:b/>
        </w:rPr>
        <w:t>E. 3.3</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148 IV 155 E. 1.1; 144 III 475 E. 1.2; 141 III 80 E. 1.2; 136 IV 92 E. 4; 134 III 188 E. 2.1; 133 III 629 E. 2.3.1, je mit Hinweisen). Die Beschwerdeführerin tut nicht, jedenfalls nicht rechtsgenügend dar, dass ihr durch den angefochtenen Rechtsmittelentscheid bezüglich des Zirkularbeschlusses des Bezirksgerichts Meilen vom 10. Mai 2023 ein nicht wieder gutzumachender Nachteil in diesem Sinne droht. Das Vorliegen dieser Zulässigkeitsvoraussetzung für die Beschwerde springt auch nicht offensichtlich in die Augen.</w:t>
      </w:r>
    </w:p>
    <w:p>
      <w:r>
        <w:rPr>
          <w:b/>
        </w:rPr>
        <w:t>E. 3.4</w:t>
      </w:r>
    </w:p>
    <w:p>
      <w:r>
        <w:t>Die Beschwerde ist somit auch wegen Fehlens der Zulässigkeitsvoraussetzungen nach Art. 93 Abs. 1 BGG offensichtlich unzulässig, soweit sie sich gegen den Rechtsmittelentscheid des Obergerichts gegen den Zirkulationsbeschluss vom 10. Mai 2023 richtet.</w:t>
      </w:r>
    </w:p>
    <w:p>
      <w:r>
        <w:rPr>
          <w:b/>
        </w:rPr>
        <w:t>E. 4</w:t>
      </w:r>
    </w:p>
    <w:p>
      <w:r>
        <w:t>Ausnahmsweise kann auf die Erhebung von Gerichtskosten verzichtet werden (Art. 66 Abs. 1 zweiter Satz BGG). Eine Parteientschädigung ist nicht zuzusprechen ( Art. 68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