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4A_399/2019 vom 19. September 2019</w:t>
      </w:r>
    </w:p>
    <w:p>
      <w:r>
        <w:t>Bundesgericht, 2019-09-19, DE</w:t>
      </w:r>
    </w:p>
    <w:p>
      <w:r>
        <w:rPr>
          <w:b/>
        </w:rPr>
        <w:t xml:space="preserve">Quelle: </w:t>
      </w:r>
      <w:r>
        <w:t>https://mcp.opencaselaw.ch/entscheid/bger_4A_399_2019</w:t>
      </w:r>
    </w:p>
    <w:p>
      <w:r>
        <w:t>FR: TF 4A_399/2019 du 19 septembre 2019</w:t>
      </w:r>
    </w:p>
    <w:p>
      <w:r>
        <w:t>IT: TF 4A_399/2019 del 19 settembre 2019</w:t>
      </w:r>
    </w:p>
    <w:p>
      <w:pPr>
        <w:pStyle w:val="Heading2"/>
      </w:pPr>
      <w:r>
        <w:t>Erwägungen</w:t>
      </w:r>
    </w:p>
    <w:p>
      <w:r>
        <w:rPr>
          <w:b/>
        </w:rPr>
        <w:t>E. 1</w:t>
      </w:r>
    </w:p>
    <w:p>
      <w:r>
        <w:t>Das Kantonsgericht ist eine Vorinstanz im Sinne von Art. 75 BGG . Weiter übersteigt der Streitwert die Grenze nach Art. 74 Abs. 1 BGG , so dass grundsätzlich die Beschwerde in Zivilsachen offen steht. Da auch die übrigen Sachurteilsvoraussetzungen erfüllt sind, ist auf die Beschwerde einzutreten, unter Vorbehalt zulässiger und hinlänglich begründeter Rügen (siehe Erwägung 2).</w:t>
      </w:r>
    </w:p>
    <w:p>
      <w:r>
        <w:rPr>
          <w:b/>
        </w:rPr>
        <w:t>E. 2.1</w:t>
      </w:r>
    </w:p>
    <w:p>
      <w:r>
        <w:t>Mit Beschwerde in Zivilsachen können Rechtsverletzungen nach Art. 95 und 96 BGG gerügt werden. Es ist unbestritten, dass auf den vorliegenden Streit liechtensteinisches Recht Anwendung findet. Da der Entscheid eine vermögensrechtliche Sache betrifft, kann nach Art. 96 lit. b BGG nicht gerügt werden, das ausländische Recht sei nicht richtig angewendet worden, sondern ausschliesslich, die Anwendung sei willkürlich und verstosse gegen Art. 9 BV ( BGE 133 III 446 E. 3.1).</w:t>
      </w:r>
    </w:p>
    <w:p>
      <w:r>
        <w:rPr>
          <w:b/>
        </w:rPr>
        <w:t>E. 2.2</w:t>
      </w:r>
    </w:p>
    <w:p>
      <w:r>
        <w:t>Die Beschwerde ist hinreichend zu begründen, ansonsten darauf nicht eingetreten werden kann ( BGE 140 III 115 E. 2 S. 116; 134 II 244 E. 2.1). In der Beschwerdeschrift ist in gedrängter Form darzulegen, inwiefern der angefochtene Akt Recht verletzt ( Art. 42 Abs. 2 BGG ).</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2.4</w:t>
      </w:r>
    </w:p>
    <w:p>
      <w:r>
        <w:t>Insbesondere greift das Bundesgericht in die Beweiswürdigung der Vorinstanz nur ein,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Erforderlich ist zudem, dass der Entscheid nicht nur in der Begründung, sondern auch im Ergebnis willkürlich ist ( BGE 141 III 564 E. 4.1; 140 III 16 E. 2.1; je mit weiteren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137 II 353 E. 5.1).</w:t>
      </w:r>
    </w:p>
    <w:p>
      <w:r>
        <w:rPr>
          <w:b/>
        </w:rPr>
        <w:t>E. 3.1</w:t>
      </w:r>
    </w:p>
    <w:p>
      <w:r>
        <w:t>Die Beschwerdeführerin machte zur Begründung ihrer Klage zusammengefasst geltend, der Beschwerdegegner und der ebenfalls für sie tätige Dr. C.________ hätten die zwei genannten Offshore-Gesellschaften gegründet und diesen gestützt auf Tippgebervereinbarungen Provisionen für vermittelte Geschäfte von ihr (der Beschwerdeführerin) auszahlen lassen. Durch dieses pflichtwidrige Verhalten sei ihr ein Schaden in der Höhe der an die beiden Gesellschaften bezahlten Provisionen entstanden, da sie keine Provisionen erbracht hätte, wenn der Beschwerdegegner und Dr. C.________ die Kunden pflichtgemäss direkt vermittelt hätten, ohne die Gesellschaften als Tippgeber dazwischenzuschalten.</w:t>
      </w:r>
    </w:p>
    <w:p>
      <w:r>
        <w:t>Das Bezirksgericht gelangte zum Ergebnis, der behauptete Schaden sei nicht bewiesen beziehungsweise nicht hinreichend substanziiert worden. Es erwog, die Beschwerdeführerin hätte nachweisen müssen, dass die in den Versicherungsverträgen festgelegte Abschlussgebühr ebenso hoch ausgefallen wäre, wenn die Geschäfte nicht durch die vom Beschwerdegegner und Dr. C.________ dazwischengeschalteten Offshore-Gesellschaften vermittelt worden wären und keine Provisionen hätten ausbezahlt werden müssen. Soweit aber die Abschlussgebühr ohne Zwischenschaltung eines Tippgebers geringer ausgefallen wäre, wie der Beschwerdegegner vorgebracht habe, liege kein Schaden in der Höhe der ausbezahlten Provisionen vor. Die Beschwerdeführerin - so das Bezirksgericht weiter - habe einzig behauptet, die Höhe der Abschlussgebühr sei nicht zwingend davon abhängig gewesen, ob Dritten eine Provision für die Vermittlung eines Kunden geschuldet gewesen sei oder nicht, sondern alleine davon, was der Kunde zu bezahlen bereit gewesen sei. Der Beschwerdegegner habe dies bestritten und seinerseits behauptet, die erhobene Abschlussgebühr sei davon abhängig gewesen, ob ein Vermittler tätig gewesen sei oder nicht. Die Beschwerdeführerin habe für ihre Behauptung keine tauglichen Beweismittel offeriert.</w:t>
      </w:r>
    </w:p>
    <w:p>
      <w:r>
        <w:t>Auf Berufung hin bestätigte das Kantonsgericht diese Beurteilung des Bezirksgerichts. Wie letzteres gelangte es zum Ergebnis, es könne nicht angenommen werden, dass es den Kunden nicht darauf angekommen sei, "ob von der Abschlussgebühr noch eine Provision zu leisten war".</w:t>
      </w:r>
    </w:p>
    <w:p>
      <w:r>
        <w:rPr>
          <w:b/>
        </w:rPr>
        <w:t>E. 3.2</w:t>
      </w:r>
    </w:p>
    <w:p>
      <w:r>
        <w:t>Die Beschwerdeführerin bezeichnet den Schluss der Vorinstanz, dass kein Schaden habe bewiesen werden können, als "unrichtig und willkürlich", begründet diesen Vorwurf aber nicht sachdienlich. Statt im Einzelnen aufzuzeigen, inwiefern die Würdigung im angefochtenen Entscheid geradezu unhaltbar sein soll, stellt sie dieser bloss ihre eigene Auffassung gegenüber, wonach die über die Offshore-Gesellschaften vermittelten Kunden offensichtlich bereit gewesen seien, unabhängig vom Dazwischenschalten eines Vermittlers "diese Abschlussgebühr zu bezahlen". Soweit die Beschwerde damit überhaupt den Anforderungen von Art. 42 Abs. 2 BGG genügt, erweist sie sich jedenfalls als unbegründet. Insbesondere vermag die Beschwerdeführerin durch die unbelegte Behauptung, dass "für den Kunden allein der Gesamtpreis seiner Leistung relevant" gewesen sei, nicht aufzuzeigen, dass die Beweiswürdigung der Vorinstanz im Ergebnis willkürlich sein soll.</w:t>
      </w:r>
    </w:p>
    <w:p>
      <w:r>
        <w:rPr>
          <w:b/>
        </w:rPr>
        <w:t>E. 4</w:t>
      </w:r>
    </w:p>
    <w:p>
      <w:r>
        <w:t>Die Beschwerde ist abzuweisen, soweit darauf eingetreten werden kann.</w:t>
      </w:r>
    </w:p>
    <w:p>
      <w:r>
        <w:t>Bei diesem Ausgang des Verfahrens sind die Gerichtskosten gemäss Art. 66 Abs. 1 BGG der Beschwerdeführerin aufzuerlegen. Dem Beschwerdegegner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