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4A_398/2010 vom 14. Dezember 2010</w:t>
      </w:r>
    </w:p>
    <w:p>
      <w:r>
        <w:t>Bundesgericht, 2010-12-14, FR</w:t>
      </w:r>
    </w:p>
    <w:p>
      <w:r>
        <w:rPr>
          <w:b/>
        </w:rPr>
        <w:t xml:space="preserve">Quelle: </w:t>
      </w:r>
      <w:r>
        <w:t>https://mcp.opencaselaw.ch/entscheid/bger_4A_398_2010</w:t>
      </w:r>
    </w:p>
    <w:p>
      <w:r>
        <w:t>FR: TF 4A_398/2010 du 14 décembre 2010</w:t>
      </w:r>
    </w:p>
    <w:p>
      <w:r>
        <w:t>IT: TF 4A_398/2010 del 14 dicembre 2010</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Que la cour cantonale ait statué en instance unique est certes contraire aux exigences de l' art. 75 al. 2 LTF , mais il n'importe car les cantons disposent encore d'un délai d'adaptation ( art. 130 al. 2 LTF ).</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p. 401)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Il résulte du dossier cantonal que si le défendeur Z.________ était domicilié à Vich (Vaud) lorsque l'instance a été introduite le 23 mai 2005, celui-ci a pris domicile aux Etats-Unis d'Amérique avant la reddition du jugement de la Cour civile, déféré par le demandeur devant le Tribunal fédéral.</w:t>
      </w:r>
    </w:p>
    <w:p>
      <w:r>
        <w:t>Si le conflit a un aspect international, la question du droit applicable, que la juridiction fédérale examine d'office, se résout selon la loi du for, soit en l'occurrence la loi fédérale sur le droit international privé du 18 décembre 1987 ( ATF 133 III 323 consid. 2.1). Toutefois, pour des raisons tenant à la sécurité du droit, il ne se justifie pas, afin de vérifier la loi applicable au différend, de tenir compte du départ pour l'étranger d'une partie durant la litispendance (arrêt 4A_462/2008 du 22 décembre 2008, consid. 2; ATF 118 II 83 consid. 3; FRANÇOIS KNOEPFLER ET AL., Droit international privé suisse, 3e éd., ch. 652b, p. 378/379). Partant, le droit qui était applicable lorsque le présent procès a été ouvert par le dépôt de la demande du 23 mai 2005 est déterminant. Il s'agit manifestement du droit suisse, car le litige n'avait à ce moment aucun caractère international.</w:t>
      </w:r>
    </w:p>
    <w:p>
      <w:r>
        <w:rPr>
          <w:b/>
        </w:rPr>
        <w:t>E. 3</w:t>
      </w:r>
    </w:p>
    <w:p>
      <w:r>
        <w:t>Dans le jugement attaqué, l'autorité cantonale a retenu que les parties et B.________ ont constitué le 8 mai 1994 une société simple au sens des art. 530 ss CO pour exploiter un cabinet de chiropractie. Comme les quatre associés, entre le 17 janvier et le 19 février 1998, ont déclaré qu'ils entendaient quitter le "Centre V.________", la cour cantonale en a déduit que la société simple a été dissoute à cette dernière date par la volonté unanime des associés. Contrairement à l'avis de l'expert, qui a estimé que les défendeurs avaient repris les actifs et passifs de cette société simple et donc continué l'exploitation de celle-ci, les magistrats cantonaux, sur la base d'une interprétation normative des art. 33 et 34 du contrat de société du 8 mai 1994, ont jugé que ces dispositions n'envisageaient pas l'hypothèse de la présente espèce, caractérisée par la dissolution de la société suivie d'une liquidation. L'activité effectuée par les défendeurs après le 19 février 1998 pour le centre correspondait à la gestion des affaires courantes de la société dissoute au cours de la liquidation. Sur la base de ces considérations, la Cour civile a néanmoins rejeté les conclusions du demandeur en paiement de ses parts, ascendant à 653'000 fr., car cette prétention équivalait à une indemnité de sortie pour le cas où l'activité de la société avait été reprise, sans liquidation, par les associés restants (i.e. les défendeurs), alors que, dans le cas présent, il y avait précisément eu liquidation de la société constituée en 1994. Même si l'on devait examiner lesdites conclusions en paiement dans le cadre de la liquidation, elles ne sauraient être accueillies, dès l'instant où il n'a pas été établi que les opérations préalables de liquidation ont été réalisées. Quant à la conclusion tendant au remboursement des avances et dépenses prétendument opérées par le demandeur pour la société simple, par 44'229 fr.85, elle se rapportait à des créances résultant d'un autre contrat de société simple passé le 1er novembre 1988 entre le demandeur, un des défendeurs et un tiers, lesquelles étaient donc antérieures à la constitution de la société simple du 8 mai 1994, si bien qu'elles ne sauraient être intégrées dans la liquidation de cette dernière société.</w:t>
      </w:r>
    </w:p>
    <w:p>
      <w:r>
        <w:rPr>
          <w:b/>
        </w:rPr>
        <w:t>E. 4.1</w:t>
      </w:r>
    </w:p>
    <w:p>
      <w:r>
        <w:t>Le recourant invoque, en se référant à l' art. 105 al. 2 LTF , une constatation arbitraire des faits par omission. Il reproche aux magistrats vaudois de n'avoir pas mentionné dans le jugement attaqué le contenu de l'art. 10 du contrat d'association du 8 mai 1994, par lequel l'intimé Z.________ se serait obligé à acheter au recourant un certain nombre de parts entre 1994 et 1998 au prix fixé en application de l'art. 8 de l'accord, engagement qu'il n'aurait pas tenu. A l'en croire, cette violation de la convention aurait exercé des conséquences économiques qui devaient être prises en compte dans l'examen de sa prétention en paiement de la somme de 653'000 fr. en capital.</w:t>
      </w:r>
    </w:p>
    <w:p>
      <w:r>
        <w:rPr>
          <w:b/>
        </w:rPr>
        <w:t>E. 4.2</w:t>
      </w:r>
    </w:p>
    <w:p>
      <w:r>
        <w:t>Lorsque, pour une partie des griefs soulevés devant le Tribunal fédéral, un recours cantonal était encore possible, il faut constater que la décision sur ces points n'est pas rendue en dernière instance cantonale, de sorte que le Tribunal fédéral ne peut pas entrer en matière à leur sujet (arrêt 4A.197/2009 du 6 août 2009 consid. 1).</w:t>
      </w:r>
    </w:p>
    <w:p>
      <w:r>
        <w:t>En procédure civile vaudoise, le grief d'arbitraire dans l'appréciation des preuves est recevable dans le cadre d'un recours en nullité cantonal (arrêt 4A.17/2009 du 14 avril 2009 consid. 1.2; arrêt 4A.531/2007 du 5 mars 2008 consid. 2.2).</w:t>
      </w:r>
    </w:p>
    <w:p>
      <w:r>
        <w:t>Partant, dans la mesure où le recourant se plaint d'arbitraire dans l'établissement des faits, il soulève un moyen qui aurait pu être invoqué dans un recours en nullité cantonal et qui est ainsi irrecevable, faute d'épuisement préalable des instances cantonales.</w:t>
      </w:r>
    </w:p>
    <w:p>
      <w:r>
        <w:rPr>
          <w:b/>
        </w:rPr>
        <w:t>E. 5.1</w:t>
      </w:r>
    </w:p>
    <w:p>
      <w:r>
        <w:t>Le recourant, se référant à l' art. 18 CO , se plaint d'une fausse interprétation du contrat d'association conclu le 8 mai 1994 ainsi que d'une application erronée des dispositions légales sur la dissolution d'une société simple ancrées aux art. 545 ss CO . Il prétend que l'interprétation selon le principe de la confiance de l'art. 33 al. 2 dudit contrat démontre qu'en cas de dissolution de la société, les associés restants reprennent automatiquement les actifs et passifs de la société dissoute, sans qu'un nouvel accord de volontés pour la reprise ne soit nécessaire entre ex-associés. Or l'expert a retenu que les actifs et passifs de la société simple ont bien été repris par les défendeurs, qui ont continué l'exploitation du centre depuis la dissolution en tout cas jusqu'au 30 juin 2006; il s'agirait là d'une constatation de fait, et non d'une question de droit. Les opérations de liquidation auxquelles ferait allusion le jugement déféré concerneraient en réalité l'ancienne société simple constituée en 1994, et non pas la nouvelle société constituée automatiquement par les intimés après la dissolution de cette ancienne société. Le recourant soutient que les intimés, par application de l'art. 34 du contrat d'association, doivent lui racheter ses 176 parts. Celles-ci représentaient lors de la dissolution une valeur de 326'502 fr., qui, après indexation, donne un prix total de 653'000 fr. Au sujet de sa prétention au paiement de 44'229 fr.85, le demandeur fait enfin valoir qu'elle résulterait du contrat d'association passé le 1er novembre 1988, dont les parties à cet accord n'auraient pas soldé leurs comptes.</w:t>
      </w:r>
    </w:p>
    <w:p>
      <w:r>
        <w:rPr>
          <w:b/>
        </w:rPr>
        <w:t>E. 5.2</w:t>
      </w:r>
    </w:p>
    <w:p>
      <w:r>
        <w:t>La résolution du litige commande de procéder à l'analyse juridique des différentes relations nouées par les plaideurs au fil du temps dans le cadre de l'exercice de leur activité médicale.</w:t>
      </w:r>
    </w:p>
    <w:p>
      <w:r>
        <w:rPr>
          <w:b/>
        </w:rPr>
        <w:t>E. 5.2.1</w:t>
      </w:r>
    </w:p>
    <w:p>
      <w:r>
        <w:t>De 1960 jusqu'en 1979, le recourant, médecin de formation, a exercé seul la profession libérale de chiropraticien dans un cabinet sis à ..., sous l'enseigne "Centre V.________". Il a donc exploité, sous la forme d'un cabinet médical, une entreprise individuelle lui procurant un revenu régulier pour son propre compte, c'est-à-dire en en supportant le risque économique de pertes (cf. art. 52 al. 3 aORC, remplacé désormais par l' art. 2 let. b ORC , RS 221.411). Il n'apparaît pas que cette entreprise entrât dans la catégorie des autres entreprises exploitées en la forme commerciale d'après l' art. 53 let . C aORC, lesquelles étaient alors soumises à l'obligation d'inscription au registre du commerce en raison de leur nature et de leur importance, du fait que leur organisation était tournée vers une plus grande rentabilité.</w:t>
      </w:r>
    </w:p>
    <w:p>
      <w:r>
        <w:rPr>
          <w:b/>
        </w:rPr>
        <w:t>E. 5.2.2</w:t>
      </w:r>
    </w:p>
    <w:p>
      <w:r>
        <w:t>Le 31 janvier 1979, le recourant a signé un contrat d'association avec le défendeur Y.________ et le docteur A.________ afin que tous trois exercent leur profession de chiropraticien. En réunissant leurs efforts en vue de réaliser un but économique commun - pratiquer la chiropractie - sans mener cette activité sous une raison sociale et sans limiter la responsabilité des associés, les prénommés ont conclu un contrat de société simple au sens de l' art. 530 al. 1 CO (caractère subsidiaire de la société simple, cf. art. 530 al. 2 CO ). La cour cantonale n'a toutefois posé aucune constatation relative à ce contrat, notamment en ce qui a trait aux biens (matériels ou immatériels), créances et autres droits personnels qui auraient été apportés par les associés afin d'atteindre le but commun.</w:t>
      </w:r>
    </w:p>
    <w:p>
      <w:r>
        <w:rPr>
          <w:b/>
        </w:rPr>
        <w:t>E. 5.2.3.1</w:t>
      </w:r>
    </w:p>
    <w:p>
      <w:r>
        <w:t>Il a été retenu en fait ( art. 105 al. 1 LTF ) que, le 1er novembre 1988, le recourant a conclu sous la forme écrite un nouveau contrat d'association avec le défendeur Y.________ et le docteur B.________, afin d'unir leurs efforts et leurs ressources dans le but commun d'exercer leur profession de chiropracteur. Du moment que cette activité n'était pas menée sous une raison sociale et que la responsabilité des associés était entière, les précités ont ainsi constitué un contrat de société simple prévu par l' art. 530 CO .</w:t>
      </w:r>
    </w:p>
    <w:p>
      <w:r>
        <w:t>Selon les constatations cantonales, le contrat du 1er novembre 1988 remplaçait l'accord signé le 31 janvier 1979. On doit en déduire que les trois anciens associés de la société formée en 1979 ont accepté que ladite société soit dissoute sans qu'il y ait eu liquidation en ce sens que deux des trois associés (i. e. le demandeur et le défendeur Y.________) ainsi qu'un tiers (le docteur B.________) reprenaient en commun les actifs et les passifs de cette société par application de l' art. 181 al. 1 CO (cf. sur la figure juridique de la dissolution sans liquidation de la société simple: WERNER VON STEIGER, Die Personengesellschaften, in Handelsrecht, SPR VIII/1, 1976, p. 468; FRANÇOIS CHAIX, in Commentaire romand, Code des obligations II, 2008, n° 21 ss ad art. 548-550 CO ; DANIEL STAEHELIN, in Basler Kommentar, Obligationenrecht II, 3e éd. 2008, n° 16 ss ad art. 548/549 CO).</w:t>
      </w:r>
    </w:p>
    <w:p>
      <w:r>
        <w:t>On ignore de quelle manière l'associé non reprenant (i.e. le docteur A.________) a été indemnisé par les deux associés reprenants et le tiers reprenant (i. e. le docteur B.________).</w:t>
      </w:r>
    </w:p>
    <w:p>
      <w:r>
        <w:rPr>
          <w:b/>
        </w:rPr>
        <w:t>E. 5.2.3.2</w:t>
      </w:r>
    </w:p>
    <w:p>
      <w:r>
        <w:t>Il résulte expressément de l'art. 6 du contrat du 1er novembre 1988 que l'obligation d'apport du demandeur (telle que l'entend l' art. 531 al. 1 CO ) à la précédente société simple créée en 1979 avait été effectuée par ce dernier sous forme d'installations et équipement du "Centre V.________", pour le prix de 350'000 fr., et par "vocable, droit au bail et clientèle (notamment cartothèque des patients)" pour la somme de 250'000 fr. Au même article, les deux autres associés Y.________ et B.________ ont déclaré "bien connaître" la valeur des prestations matérielles ainsi décrites. Il faut en inférer, à défaut d'autres éléments, que les associés Y.________ et B.________ ont admis que le demandeur apportait à tous les associés de la société formée en 1988 des avantages dont la valeur patrimoniale était toujours au total de 600'000 fr. On doit rappeler à cet égard que les associés sont entièrement libres de fixer la nature et l'étendue des différents apports, la règle de l' art. 531 al. 2 CO à teneur de laquelle les apports doivent être égaux étant de droit dispositif ( ATF 88 II 172 consid. 2b; LUKAS HANDSCHIN, in Basler Kommentar, Obligationenrecht II, 3e éd. 2008, n° 2 ad art. 531 CO ).</w:t>
      </w:r>
    </w:p>
    <w:p>
      <w:r>
        <w:t>La doctrine et la jurisprudence distinguent le mode d'après lequel les apports sont effectués au profit de la société. Dans le cas le plus fréquent en pratique, les apports sont opérés en pleine propriété (quoad dominium), tous les associés en devenant propriétaires en main commune (HANDSCHIN/VONZUN, Zürcher Kommentar, 4e éd. 2009, n° 51 ss ad art. 531 CO ; TERCIER/FAVRE, Les contrats spéciaux, 4e éd. 2009, ch. 7576, p. 1136). Les apports peuvent aussi être transférés en propriété aux associés, mais seulement à titre fiduciaire (quoad dominium, non quoad sortem) (CHAIX, op. cit, n° 4 ad art. 531 CO ; TERCIER/FAVRE, op. cit., ibidem). L'apport peut encore être effectué en destination (quoad sortem): l'associé garde alors la propriété du bien, mais accepte de ne l'affecter qu'à un usage déterminé ( ATF 105 II 204 consid. 2b p. 207/208; HANDSCHIN/VONZUN, op. cit, n° 86 à 89 ad art. 531 CO ). Enfin, l'apport peut être fait en usage (quoad usum), les associés ne bénéficiant que de l'usage de la chose amenée par l'un d'entre eux, lequel en reste propriétaire ( ATF 105 II 204 consid. 2 p. 207; CHAIX, op. cit., n° 4 ad art. 531 CO ); l'apport en usage n'a de sens que pour une société simple formée pour une durée limitée, à l'exemple d'un consortium de construction (HANDSCHIN, op. cit., n° 7 ad art. 531 CO ).</w:t>
      </w:r>
    </w:p>
    <w:p>
      <w:r>
        <w:t>C'est le lieu d'examiner selon quelles modalités ont été opérés les apports du demandeur mentionnés à l'art. 6 du contrat du 1er novembre 1988, consistant, comme on l'a vu, en installations et équipement, ainsi que "vocable, droit au bail et clientèle".</w:t>
      </w:r>
    </w:p>
    <w:p>
      <w:r>
        <w:t>Il n'a pas été établi que les autres associés aient également fait l'apport à la société simple formée en 1988 d'installations et équipement. Ces éléments corporels étaient à l'évidence indispensables au fonctionnement durable du centre de chiropractie, de sorte qu'il faut en conclure, à défaut de restrictions insérées dans le contrat d'association, qu'ils ont été apportés par le recourant à la société en pleine propriété; autrement dit, tous les associés, par tradition ( art. 714 al. 1 CC ), ont acquis en commun la propriété de ces biens matériels ayant une valeur de 350'000 fr.</w:t>
      </w:r>
    </w:p>
    <w:p>
      <w:r>
        <w:t>L'art. 6 de l'accord fait référence comme apport du demandeur au terme "vocable"; interprété au regard de la théorie de la confiance (cf. ATF 135 III 410 consid. 3.2 p. 412 s.), ce mot doit être compris comme la désignation du cabinet, c'est-à-dire l'enseigne "Centre V.________". Le demandeur a fait également l'apport de son "droit au bail" et de sa "clientèle (notamment cartothèque des patients)". En l'absence d'indices contraires, il sied d'admettre que ces trois éléments incorporels (enseigne, droit au bail, clientèle) ont également été apportés par le demandeur en propriété à l'ensemble des associés, qui étaient tous des médecins chiropracteurs, et qu'ils représentaient en tout la somme de 250'000 fr., valeur novembre 1988.</w:t>
      </w:r>
    </w:p>
    <w:p>
      <w:r>
        <w:rPr>
          <w:b/>
        </w:rPr>
        <w:t>E. 5.2.4.1</w:t>
      </w:r>
    </w:p>
    <w:p>
      <w:r>
        <w:t>Le 8 mai 1994, le recourant a conclu un troisième contrat d'association avec ses anciens associés Y.________ et B.________ et un nouvel associé en la personne du défendeur Z.________, cela afin d'exploiter le "Centre V.________". Il n'est pas contesté que les précités ont ainsi constitué une société simple (cf. art. 530 ss CO ), comme le précisait d'ailleurs explicitement l'art. 1 du contrat.</w:t>
      </w:r>
    </w:p>
    <w:p>
      <w:r>
        <w:t>L'art. 1 in fine du contrat en cause stipulait que "le contrat du 1.11.88 (était) abrogé". Derechef, il appert de cette clause que tous les associés de la société simple formée le 1er novembre 1988 ont consenti à ce qu'il y ait dissolution de cette société sans liquidation et que l'actif et le passif de la société dissoute soient repris par les trois anciens associés en compagnie d'un tiers, soit le défendeur Z.________, en vertu du mécanisme de l' art. 181 CO (cf. à ce propos consid. 5.2.3.1 ci-dessus).</w:t>
      </w:r>
    </w:p>
    <w:p>
      <w:r>
        <w:rPr>
          <w:b/>
        </w:rPr>
        <w:t>E. 5.2.4.2</w:t>
      </w:r>
    </w:p>
    <w:p>
      <w:r>
        <w:t>L'art. 7 dudit contrat prévoyait que le "capital" de la société était divisé en 600 parts égales de 1'000 fr. chacune et qu'il était attribué au recourant 600 parts "pour son apport de Fr. 600'000.-". Cette disposition contractuelle, mise en relation avec l'art. 6 du contrat (abrogé) du 1er novembre 1988, fait ressortir que l'obligation du demandeur d'effectuer un apport en vue du but commun (cf. art. 531 al. 1 CO ) a été exécutée par la remise en propriété aux associés des mêmes éléments matériels et immatériels (soit installations et équipement, enseigne, droit au bail et clientèle) que ce dernier avait fournis sous forme d'apports à ses associés d'alors d'après le deuxième contrat de société simple conclu en 1988. Et la détermination à 600'000 fr. de la totalité de ces apports dans la clause susrappelée établit que les autres associés ont admis que ces prestations du demandeur opérées au bénéfice de la nouvelle société simple avaient cette valeur le 8 mai 1994.</w:t>
      </w:r>
    </w:p>
    <w:p>
      <w:r>
        <w:rPr>
          <w:b/>
        </w:rPr>
        <w:t>E. 5.2.4.3</w:t>
      </w:r>
    </w:p>
    <w:p>
      <w:r>
        <w:t>Il reste maintenant à se pencher sur la manière dont la société simple créée le 8 mai 1994 a pris fin.</w:t>
      </w:r>
    </w:p>
    <w:p>
      <w:r>
        <w:t>L'art. 32 du contrat de société stipule, entre autres causes de dissolution, la volonté unanime des associés. Ce motif d'extinction est calqué sur celui prévu par l' art. 545 al. 1 ch. 4 CO , norme de droit dispositif (CHAIX, op. cit., n° 3 ad art. 545-547 CO ; TERCIER/FAVRE, op. cit., ch. 7697, p. 1152).</w:t>
      </w:r>
    </w:p>
    <w:p>
      <w:r>
        <w:t>Il résulte de l'état de fait déterminant ( art. 105 al. 1 LTF ) qu'entre le 17 janvier et le 6 février 1998, les deux défendeurs ainsi que B.________ ont chacun fait savoir qu'ils entendaient quitter le "Centre V.________". Le 19 février 1998, le recourant a écrit à ses trois associés qu'il quitterait lui aussi le centre le 31 mars 1998. Il résulte clairement de cet échange de correspondance, interprétée au regard du principe de la confiance (cf. ATF 135 III 410 consid. 3.2 p. 412 s.), que les quatre associés étaient d'accord de quitter le "Centre V.________", c'est-à-dire de dissoudre la société simple qu'ils avaient formée le 8 mai 1994. La dissolution de la société a pris effet le 19 février 1998, date à laquelle le demandeur a pris connaissance de l'intention de ses associés de mettre fin à la société tout en leur communiquant son acceptation de cette issue.</w:t>
      </w:r>
    </w:p>
    <w:p>
      <w:r>
        <w:rPr>
          <w:b/>
        </w:rPr>
        <w:t>E. 5.2.4.4</w:t>
      </w:r>
    </w:p>
    <w:p>
      <w:r>
        <w:t>Le recourant allègue que l'art. 33 al. 2 du contrat de société se heurte à l'admission d'une dissolution consensuelle de la société simple, car cette norme exigerait que les associés restants, si la société était dissoute, reprennent dans le même temps l'actif et le passif de ladite société pour en continuer l'exploitation. Il ne saurait être suivi dans cette voie.</w:t>
      </w:r>
    </w:p>
    <w:p>
      <w:r>
        <w:t>L'art. 33 du contrat de société prescrit qu'en cas de dissolution de la société, la liquidation sera effectuée par les associés restants avec effet rétroactif au jour de la dissolution (al. 1); une nouvelle société sera automatiquement constituée entre les associés restants, simultanément à la dissolution (al. 2).</w:t>
      </w:r>
    </w:p>
    <w:p>
      <w:r>
        <w:t>Cette clause contractuelle est en réalité une clause de continuation (Fortsetzungsklausel), qui permet aux associés restants de poursuivre entre eux la société, bien que soit survenue une cause légale de dissolution, telle que la mort d'un associé (cf. ATF 116 II 49 consid. 4b; CHAIX, op. cit, n° 9 et n° 35 ad art. 545-547 CO ; STAEHELIN, op. cit., n° 12 ad art. 545/546 CO; VON STEIGER, op. cit, p. 424; TERCIER/FAVRE, op. cit., ch. 7698, p. 1152).</w:t>
      </w:r>
    </w:p>
    <w:p>
      <w:r>
        <w:t>Or, comme on l'a vu, les associés ont in casu décidé à l'unanimité de mettre fin à la société. Partant, il n'y avait plus d'associés restants, puisque tous les associés avaient convenu de dissoudre la société formée en 1994. L'art. 33 du contrat de société ne pouvait pas s'appliquer dans de telles circonstances.</w:t>
      </w:r>
    </w:p>
    <w:p>
      <w:r>
        <w:rPr>
          <w:b/>
        </w:rPr>
        <w:t>E. 5.2.4.5</w:t>
      </w:r>
    </w:p>
    <w:p>
      <w:r>
        <w:t>Il n'a pas été constaté que tous les associés de la société créée en 1994 aient voulu que l'un ou plusieurs d'entre eux ou des tiers reprennent l'actif et le passif de la société dissoute, ce qui aurait permis une dissolution sans liquidation.</w:t>
      </w:r>
    </w:p>
    <w:p>
      <w:r>
        <w:t>La société simple formée en 1994 doit en conséquence être liquidée. La société dissoute continue en effet d'exister avec comme unique but sa propre liquidation, cela jusqu'à ce que ce but ait été atteint ( ATF 119 II 119 consid. 3a p. 122; 105 II 204 consid. 2a p. 206 s.; HANDSCHIN/VONZUN, op. cit., n° 1 ad art. 545-547 CO ).</w:t>
      </w:r>
    </w:p>
    <w:p>
      <w:r>
        <w:t>Les dispositions relatives à la liquidation de la société simple, qui font l'objet des art. 548 à 550 CO, sont de nature dispositive (CHAIX, op. cit., n° 2 ad art. 548-550 CO ). Les associés peuvent ainsi prévoir par contrat les opérations de liquidation (cf. HANDSCHIN/VONZUN, op. cit., n° 36 ad art. 548-551 CO ). Dans le cas présent, il a seulement été prévu. à l'art. 7 in fine de la convention du 8 mai 1994, une répartition interne des bénéfices, et donc des pertes par application de l' art. 533 al. 2 CO , proportionnellement aux parts, et non par tête en dérogation à l' art. 533 al. 1 CO .</w:t>
      </w:r>
    </w:p>
    <w:p>
      <w:r>
        <w:t>A défaut de tout autre accord concernant la liquidation, celle-ci doit être réalisée selon les règles légales. La liquidation comprend tant le règlement des relations avec des tiers (liquidation externe) que la répartition entre les associés des actifs ou des passifs restants (liquidation interne) ( ATF 119 II 119 consid. 3a).</w:t>
      </w:r>
    </w:p>
    <w:p>
      <w:r>
        <w:t>Les opérations de liquidation, qui doivent se faire de manière globale (principe de l'unité de la liquidation, ATF 116 II 316 consid. 2d et les références), comprennent tout d'abord la détermination de l'actif social (cf. art. 585 al. 1 CO applicable par analogie), puis le paiement des dettes sociales ( art. 549 al. 1 CO ), le remboursement des dépenses et avances faites par les associés ( art. 549 al. 1 CO ), la restitution des apports en propriété ( art. 548 et 549 al. 1 CO ) et, enfin, la répartition du bénéfice ou du déficit ( art. 549 al. 1 et 533 CO ).</w:t>
      </w:r>
    </w:p>
    <w:p>
      <w:r>
        <w:t>S'agissant de la restitution des apports qui ont été remis à la société en pleine propriété, l'associé, en vertu de l' art. 548 al. 2 CO , peut exiger le paiement du prix pour lequel son apport a été accepté, toute restitution en nature étant exclue ( art. 548 al. 1 CO ). Si les actifs de la société dissoute ne permettent pas de rembourser en valeur les apports, il s'agit alors d'une perte d'exploitation que tous les associés doivent se répartir sur la base de l' art. 533 CO ( art. 549 al. 2 CO ; STAEHELIN, op. cit., n° 8 ad art. 548/549 CO; VON STEIGER, op. cit., p. 467). Tous les associés peuvent donc, le cas échéant, être tenus à opérer des versements complémentaires pour permettre à la société en liquidation d'exécuter les prétentions d'un associé en restitution de ses apports; celui-ci devra toutefois imputer sur ses prétentions sa propre participation à la perte en question (HANDSCHIN/VONZUN, op. cit., n° 178 ad art. 548-551 CO ).</w:t>
      </w:r>
    </w:p>
    <w:p>
      <w:r>
        <w:rPr>
          <w:b/>
        </w:rPr>
        <w:t>E. 5.2.4.6</w:t>
      </w:r>
    </w:p>
    <w:p>
      <w:r>
        <w:t>Ces considérations conduisent le Tribunal fédéral à adopter la solution suivante.</w:t>
      </w:r>
    </w:p>
    <w:p>
      <w:r>
        <w:t>Dans sa demande du 23 mai 2005, le recourant avait requis la nomination judiciaire d'un liquidateur, laquelle est admise en doctrine bien que la loi ne l'ait pas prévue pour la société simple, à l'inverse de l' art. 583 al. 2 CO pour la société en nom collectif (CHAIX, op. cit., n° 8 ad art. 548-550 CO ; STAEHELIN, op. cit., n° 8 ad art. 550 CO ; PIERRE-ALAIN RECORDON, La société simple III, les changements d'associés-La fin de la société, FJS 678 [2000] p. 32 let. C).</w:t>
      </w:r>
    </w:p>
    <w:p>
      <w:r>
        <w:t>Lors d'une audience tenue devant la Présidente du Tribunal d'arrondissement de La Côte, les parties ont admis, par convention signée le 23 novembre 2005, de notamment désigner un expert liquidateur.</w:t>
      </w:r>
    </w:p>
    <w:p>
      <w:r>
        <w:t>Toutefois, cet expert liquidateur est parti de l'idée - erronée - qu'après que la société a été dissoute le 19 février 1998, les intimés ont repris les actifs et passifs de cette société et continué l'exploitation. Ce faisant, il a raisonné comme si le demandeur devait être indemnisé en sa qualité d'associé sortant de la société simple. L'expert n'a donc pas procédé aux opérations de liquidation instituées par les art. 548 ss CO pour que la société prenne définitivement fin. Il n'a en particulier pas procédé à la restitution des apports que le demandeur avait effectués en pleine propriété le 8 mai 1994 pour une valeur fixée dans le contrat de société à 600'000 fr. Cette fausse conception de l'expert a rendu inutilisable son rapport d'expertise et a totalement vicié le raisonnement des juges cantonaux, qui n'ont pas fait application des dispositions légales concernant la liquidation de la société simple créée en 1994. Il apparaît qu'une nouvelle expertise devra être ordonnée afin que la liquidation soit effectuée en conformité avec le droit fédéral.</w:t>
      </w:r>
    </w:p>
    <w:p>
      <w:r>
        <w:t>En l'absence de données factuelles complètes, le Tribunal fédéral n'est pas à même de statuer sur les prétentions en paiement du recourant.</w:t>
      </w:r>
    </w:p>
    <w:p>
      <w:r>
        <w:t>Il convient ainsi d'admettre partiellement le recours, d'annuler le jugement attaqué et de retourner la cause à l'autorité cantonale pour nouvelle décision dans le sens des considérants.</w:t>
      </w:r>
    </w:p>
    <w:p>
      <w:r>
        <w:rPr>
          <w:b/>
        </w:rPr>
        <w:t>E. 6</w:t>
      </w:r>
    </w:p>
    <w:p>
      <w:r>
        <w:t>Le recourant, dont la demande a été entièrement rejetée par la Cour civile, obtient dans la procédure fédérale une amélioration de sa situation juridique, du moment que le jugement défavorable à ses intérêts qu'il attaquait a été mis à néant. Toutefois, il a fondé ses conclusions principales sur une fausse conception juridique et seules ses conclusions subsidiaires ont été accueillies. Dans ces conditions, il faut considérer que le recourant n'obtient que partiellement gain de cause. En conséquence, les frais judiciaires, arrêtés à 5'000 fr., doivent être mis à raison des trois quarts à la charge des intimés, solidairement entre eux, et d'un quart à la charge du recourant ( art. 66 al. 1 et 5 LTF ).</w:t>
      </w:r>
    </w:p>
    <w:p>
      <w:r>
        <w:t>Après compensation, les intimés verseront solidairement au recourant une indemnité de 3'000 fr. à titre de dépens réduits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