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4A_397/2012 vom 11. Januar 2013</w:t>
      </w:r>
    </w:p>
    <w:p>
      <w:r>
        <w:t>Bundesgericht, 2013-01-11, DE</w:t>
      </w:r>
    </w:p>
    <w:p>
      <w:r>
        <w:rPr>
          <w:b/>
        </w:rPr>
        <w:t xml:space="preserve">Quelle: </w:t>
      </w:r>
      <w:r>
        <w:t>https://mcp.opencaselaw.ch/entscheid/bger_4A_397_2012</w:t>
      </w:r>
    </w:p>
    <w:p>
      <w:r>
        <w:t>FR: TF 4A_397/2012 du 11 janvier 2013</w:t>
      </w:r>
    </w:p>
    <w:p>
      <w:r>
        <w:t>IT: TF 4A_397/2012 del 11 gennaio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1.1</w:t>
      </w:r>
    </w:p>
    <w:p>
      <w:r>
        <w:t>Die Beschwerde in Zivilsachen ist zulässig gegen Entscheide in Zivilsachen ( Art. 72 Abs. 1 BGG ). Ob eine Zivilsache vorliegt, beurteilt sich nach der Rechtsnatur des Streitgegenstandes. Entscheidend ist, ob die Parteien nach ihren Rechtsbegehren und Sachvorbringen Ansprüche des Bundesprivatrechts erhoben haben und ebensolche objektiv streitig sind. Auch der Streit um die Frage, ob objektiv bundesprivatrechtliche Ansprüche erhoben werden, gilt als Zivilsache ( BGE 135 III 483 E. 1.1.1 S. 485; 129 III 415 E. 2.1; 128 III 250 E. 1a S. 252; je mit Hinweisen). Die Beschwerdeführerin stützt ihre eingeklagte Forderung auf Bundesprivatrecht, während die Vorinstanz erkannte, die Streitsache sei nach öffentlich-rechtlichen Normen zu beurteilen. Es handelt sich damit um eine Zivilsache im Sinne von Art. 72 Abs. 1 BGG .</w:t>
      </w:r>
    </w:p>
    <w:p>
      <w:r>
        <w:t>Angefochten ist ein Endentscheid einer letzten kantonalen Instanz (Art. 75 Abs. 1 und Abs. 2 lit. a BGG i.V.m. Art. 5 Abs. 1 lit. a und d ZPO sowie Art. 90 BGG ). Dagegen steht die Beschwerde in Zivilsachen offen. Da auch die übrigen Sachurteilsvoraussetzungen erfüllt sind, ist - unter Vorbehalt einer hinreichenden Begründung ( Art. 42 Abs. 2 und Art. 106 Abs. 2 BGG ) - auf die Beschwerde einzutreten.</w:t>
      </w:r>
    </w:p>
    <w:p>
      <w:r>
        <w:rPr>
          <w:b/>
        </w:rPr>
        <w:t>E. 1.2</w:t>
      </w:r>
    </w:p>
    <w:p>
      <w:r>
        <w:t>Mit der Beschwerde in Zivilsachen kann die Verletzung von Bundesrecht (einschliesslich Bundesverfassungsrecht) gerügt werden ( Art. 95 lit. a BGG ; BGE 134 III 379 E. 1.2). Nicht zu den in Art. 95 BGG vorgesehenen Rügegründen gehört hingegen die Verletzung kantonaler Gesetzesbestimmungen, deren Anwendung und Auslegung vom Bundesgericht einzig unter dem Blickwinkel eines Verstosses gegen Bundesrecht bzw. gegen Bundesverfassungsrecht beurteilt werden kann ( BGE 136 I 241 E. 2.4; 135 III 513 E. 4.3 S. 521; 134 III 379 E. 1.2 S. 382 f.). Das kantonale Verfahren richtete sich noch nach der nunmehr aufgehobenen Zivilprozessordnung des Kantons Zürich vom 13. Juni 1976 (aZPO/ZH; vgl. Art. 404 Abs. 1 der Schweizerischen Zivilprozessordnung [ZPO; SR 272]).</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133 II 249 E. 1.4.1; je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1.5</w:t>
      </w:r>
    </w:p>
    <w:p>
      <w:r>
        <w:t>Die Beschwerdeführerin stellt ihren rechtlichen Vorbringen eine ausführliche Sachverhaltsdarstellung voran, in der sie die Geschehnisse sowie den Verfahrensablauf aus eigener Sicht schildert. Sie weicht darin - wie auch in ihrer weiteren Beschwerdebegründung - in zahlreichen Punkten von den tatsächlichen Feststellungen im angefochtenen Entscheid ab oder erweitert diese. Soweit sie dazu keine zulässigen Sachverhaltsrügen erhebt, haben ihre Ausführungen unbeachtet zu bleiben.</w:t>
      </w:r>
    </w:p>
    <w:p>
      <w:r>
        <w:t>Auch in ihrer weiteren Beschwerdebegründung kritisiert die Beschwerdeführerin teilweise in appellatorischer Weise den angefochtenen Entscheid, als ob das Bundesgericht den Rechtsstreit von Grund auf neu beurteilen könnte. So kritisiert sie etwa unter der Überschrift "Erstellte Verwertung durch den Beschwerdegegner" verschiedenste Sachverhaltsfeststellungen der Vorinstanz unter Hinweis auf zahlreiche Aktenstücke des kantonalen Verfahrens und unterbreitet dem Bundesgericht ihre Sicht der Dinge hinsichtlich der Verwertung der von ihr erstellten Variante. Sie schliesst ihre Ausführungen zwar mit der Behauptung, die Vorinstanz habe den Sachverhalt aktenwidrig und willkürlich festgestellt, verfehlt jedoch die gesetzlichen Begründungsanforderungen an entsprechende Rügen.</w:t>
      </w:r>
    </w:p>
    <w:p>
      <w:r>
        <w:rPr>
          <w:b/>
        </w:rPr>
        <w:t>E. 1.6</w:t>
      </w:r>
    </w:p>
    <w:p>
      <w:r>
        <w:t>Die örtliche und sachliche Zuständigkeit der Vorinstanz ist im vorliegenden Beschwerdeverfahren nicht mehr strittig, nachdem die Vorinstanz darüber bereits mit selbständig eröffnetem Zwischenentscheid entschieden hatte (vgl. Art. 92 Abs. 2 BGG ). Hinsichtlich der Anwendung des Urheberrechtsgesetzes (URG; SR 231.1) durch die Vorinstanz lassen sich der Beschwerde keine Rügen entnehmen.</w:t>
      </w:r>
    </w:p>
    <w:p>
      <w:r>
        <w:rPr>
          <w:b/>
        </w:rPr>
        <w:t>E. 2</w:t>
      </w:r>
    </w:p>
    <w:p>
      <w:r>
        <w:t>Die Beschwerdeführerin wirft der Vorinstanz vor, sie habe den eingeklagten Anspruch zu Unrecht nach den öffentlich-rechtlichen Normen des waadtländischen Verantwortlichkeitsgesetzes (Loi sur la responsabilité de l'État, des communes et de leurs agents vom 16. Mai 1961 [LRECA; RSV 170.11]) beurteilt; anwendbar seien vielmehr die Bestimmungen des Bundesprivatrechts.</w:t>
      </w:r>
    </w:p>
    <w:p>
      <w:r>
        <w:rPr>
          <w:b/>
        </w:rPr>
        <w:t>E. 2.1</w:t>
      </w:r>
    </w:p>
    <w:p>
      <w:r>
        <w:t>Öffentliche Beamte und Angestellte haften an sich auch für Tätigkeiten, die sie in Ausübung ihrer amtlichen Verrichtungen ausführen, nach Bundeszivilrecht ( Art. 41 ff. OR ), sofern der kantonale Gesetzgeber keine abweichenden Bestimmungen festgesetzt hat ( Art. 61 Abs. 1 OR ). Das Gemeinwesen selbst haftet aber für die Schädigung durch seine Funktionäre nur nach Massgabe des öffentlichen Rechts ( Art. 59 Abs. 1 ZGB ), es sei denn, es handle sich um gewerbliche Verrichtungen, welche eine Organ- oder Geschäftsherrenhaftung auszulösen vermögen ( Art. 55 ZGB bzw. Art. 55 OR ; BGE 111 II 149 E. 3a S. 151; 108 II 334 E. 3 S. 335 f.; 101 II 177 E. 2b S. 184 f.; vgl. auch BGE 124 III 418 E. 1b S. 420 f.). Vorbehalten bleibt eine zivilrechtliche Verantwortlichkeit des Gemeinwesens in Fällen, für die das Bundesrecht eine Haftung der Kantone für bestimmte Handlungen ihres Personals vorschreibt (etwa Art. 46, Art. 955 ZGB ), oder nach den Bestimmungen der Spezialgesetzgebung über die Gefährdungshaftungen (z.B. Kernenergiehaftpflichtgesetz [KHG; SR 732.44], Elektrizitätsgesetz [EleG; SR 734.0], Eisenbahngesetz [EBG; SR 742.101], Strassenverkehrsgesetz [SVG; SR 741.01]), die nicht zwischen privatem und staatlichem Schädiger unterscheiden, sondern die Haftpflicht ausschliesslich an eine spezifische Betriebsgefahr anknüpfen. Im Sinne einer Ausnahme von der Haftung nach öffentlichem Recht wendet die Rechtsprechung sodann insbesondere Art. 58 OR bezüglich der Werkeigentümerhaftpflicht von Bund, Kantonen und Gemeinden an (zur Haftung des Gemeinwesens etwa BREHM, Berner Kommentar, 3. Aufl. 2006, N. 6 ff. zu Art. 61 OR ).</w:t>
      </w:r>
    </w:p>
    <w:p>
      <w:r>
        <w:rPr>
          <w:b/>
        </w:rPr>
        <w:t>E. 2.2</w:t>
      </w:r>
    </w:p>
    <w:p>
      <w:r>
        <w:t>Die Beschwerdeführerin richtet ihre Klage, die sie auf Bundesprivatrecht stützt, nicht gegen einen Beamten oder Angestellten des Beschwerdegegners, sondern unmittelbar gegen das Gemeinwesen. Eine solche privatrechtliche Haftung des Kantons kommt - abgesehen von den erwähnten Ausnahmen, die im konkreten Fall nicht zur Diskussion stehen - nur im Rahmen einer gewerblichen Tätigkeit in Betracht.</w:t>
      </w:r>
    </w:p>
    <w:p>
      <w:r>
        <w:t>Die Vorinstanz hat zutreffend darauf abgestellt, dass der Beschwerdegegner mit der Erstellung der projektierten Autobahnstrecke auf Grundlage der Verfassung (vgl. nunmehr Art. 83 BV ) sowie der entsprechenden Gesetzgebung zum Strassenbau (vgl. das Bundesgesetz vom 8. März 1960 über die Nationalstrassen [NSG; SR 725.11]) eine öffentliche Aufgabe erfüllte (vgl. bereits BGE 96 II 337 E. 3a S. 343). Eine gewerbliche Tätigkeit, die grundsätzlich Privaten wie Nichtprivaten offensteht und bei welcher etwa die Erzielung von Gewinn eine Rolle spielt, liegt bei der fraglichen Erstellung des projektierten Autobahntunnels nicht vor (vgl. ULRICH HÄFELIN UND ANDERE, Allgemeines Verwaltungsrecht, 6. Aufl. 2010, Rz. 2270; BGE 128 III 76 E. 1a S. 78 mit Hinweisen).</w:t>
      </w:r>
    </w:p>
    <w:p>
      <w:r>
        <w:t>Die Beschwerdeführerin stellt die Anwendbarkeit des öffentlich-rechtlichen Verantwortlichkeitsrechts zu Unrecht unter Hinweis auf die bundesgerichtliche Rechtsprechung zum öffentlichen Beschaffungswesen in Abrede. Entgegen ihrer Ansicht lässt sich aus dem Umstand, dass der Vertrag zwischen dem Hoheitsträger und dem berücksichtigten Anbieter über die Erstellung der Baute dem Privatrecht unterliegt (vgl. Urteil 4C.256/2004 vom 28. Februar 2005 E. 2.2; PETER GALLI UND ANDERE, Praxis des öffentlichen Beschaffungsrechts, 2. Aufl. 2007, Rz. 701; zur Zweistufentheorie etwa HÄFELIN UND ANDERE, a.a.O., Rz. 287 ff.), nichts zu ihren Gunsten ableiten. Das Konsortium, für das die Beschwerdeführerin Berichte und Pläne erstellte, erhielt gerade keinen Zuschlag in der ausgeschriebenen Submission; abgesehen davon war sie selbst dem Konsortium nach den Sachverhaltsfeststellungen im angefochtenen Entscheid gar nicht beigetreten. Entgegen der in der Beschwerde vertretenen Ansicht hat die Vorinstanz keineswegs verkannt, dass im Beschaffungsrecht hinsichtlich der Anwendbarkeit des öffentlichen Rechts sowie des Privatrechts zwischen der internen Willensbildung des Verwaltungsträgers einerseits und dem Vertragsschluss zwischen Verwaltungsträger und Anbieter andererseits zu unterscheiden ist. Entgegen dem, was die Beschwerdeführerin anzunehmen scheint, lässt sich aus dem Umstand, dass am Ende des Submissionsverfahrens mit dem berücksichtigten Anbieter ein privatrechtlicher Vertrag abgeschlossen wird, keine allgemeine privatrechtliche Haftung des Gemeinwesens gegenüber nicht berücksichtigten Anbietern, geschweige denn gegenüber nur mittelbar beteiligten Dritten, ableiten (vgl. nunmehr zur Staatshaftung vielmehr etwa Art. 34 f. des Bundesgesetzes vom 16. Dezember 1994 über das öffentliche Beschaffungswesen [BöB; SR 172.056.1]; vgl. auch GALLI UND ANDERE, a.a.O., Rz. 944).</w:t>
      </w:r>
    </w:p>
    <w:p>
      <w:r>
        <w:rPr>
          <w:b/>
        </w:rPr>
        <w:t>E. 2.3</w:t>
      </w:r>
    </w:p>
    <w:p>
      <w:r>
        <w:t>Mit ihren Ausführungen zur Anwendbarkeit des Bundesgesetzes vom 19. Dezember 1986 gegen den unlauteren Wettbewerb (UWG; SR 241) scheint die Beschwerdeführerin zu übersehen, dass der angefochtene Entscheid davon ausgeht, dass die öffentliche Hand - selbst wenn der Staat im Rahmen seiner amtlichen Tätigkeit wettbewerbsrelevant auftritt - die Grundsätze der Lauterkeit zu beachten hat (vgl. LUCAS DAVID UND ANDERE, Der Rechtsschutz im Immaterialgüter- und Wettbewerbsrecht, SIWR Bd. I/2, 3. Aufl. 2011, Rz. 252; GEORG RAUBER, Lauterkeitsrecht, in: SIWR Bd. V/I, 2. Aufl. 1998, S. 270 f.), und auch der Beschwerdegegner nicht in Abrede stellte, im Rahmen von Submissionsverfahren an die Grundsätze des UWG gebunden zu sein. Dies ändert jedoch nichts daran, dass sich Ausgleichsansprüche (Schadenersatz, ungerechtfertigte Bereicherung oder Geschäftsführung ohne Auftrag), die mit unlauterem Handeln des Kantons im Rahmen der Erfüllung seiner öffentlichen Aufgaben begründet werden, nach den Bestimmungen des kantonalen Verantwortlichkeitsrechts beurteilen (vgl. RAUBER, a.a.O., S. 271; DAVID UND ANDERE, a.a.O., Rz. 252). Art. 9 Abs. 3 UWG verweist bezüglich der reparatorischen Ansprüche denn auch auf die Bestimmungen des Obligationenrechts ( Art. 41 ff., Art. 423 OR ), die im Rahmen der öffentlich-rechtlichen Tätigkeit des Kantons gegebenenfalls als kantonales Ersatzrecht anwendbar sind, dessen Anwendung im Beschwerdeverfahren jedoch nur auf Willkür ( Art. 9 BV ) bzw. andere Verfassungsverletzungen hin überprüft werden kann (vgl. BGE 138 I 232 E. 2.4 S. 236 f.; 108 II 334 E. 3 S. 335 f.).</w:t>
      </w:r>
    </w:p>
    <w:p>
      <w:r>
        <w:t>Die Vorinstanz hat den von der Beschwerdeführerin eingeklagten Anspruch somit zutreffend nach den Bestimmungen des waadtländischen Verantwortlichkeitsgesetzes (LRECA) und nicht nach den Anspruchsgrundlagen des Bundesprivatrechts beurteilt. Soweit die Beschwerdeführerin lediglich eine Verletzung von Bestimmungen des Bundesprivatrechts (so insbesondere Art. 62 und Art. 423 OR ) behauptet, stossen ihre Rügen ins Leere.</w:t>
      </w:r>
    </w:p>
    <w:p>
      <w:r>
        <w:rPr>
          <w:b/>
        </w:rPr>
        <w:t>E. 3.1</w:t>
      </w:r>
    </w:p>
    <w:p>
      <w:r>
        <w:t>Wird eine willkürliche Anwendung von kantonalem Recht gerügt, genügt es nicht, wenn der Beschwerdeführer einfach behauptet, der angefochtene Entscheid sei willkürlich; bei der Rechtsanwendungsrüge hat 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351 f. ; 132 I 13 E. 5.1 S. 18; 110 Ia 1 E. 2a S. 3 f.).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138 IV 13 E. 5.1 S. 22 ; 137 I 1 E. 2.4 S. 5 ; 136 I 316 E. 2.2.2. S. 318 f.; je mit Hinweisen).</w:t>
      </w:r>
    </w:p>
    <w:p>
      <w:r>
        <w:rPr>
          <w:b/>
        </w:rPr>
        <w:t>E. 3.2</w:t>
      </w:r>
    </w:p>
    <w:p>
      <w:r>
        <w:t>Die Beschwerdeführerin wirft der Vorinstanz zwar vor, sie habe mit der Abweisung ihrer Klage das Willkürverbot ( Art. 9 BV ) missachtet. Sie zeigt jedoch keine Willkür auf, sondern verweist lediglich auf ihre Ausführungen, in denen sie (zu Unrecht) eine Verletzung von Bundesprivatrecht behauptet. Insbesondere legt sie nicht dar, welche kantonalen Bestimmungen und inwiefern sie verfassungswidrig angewendet worden wären, indem die Vorinstanz ein Einstehenmüssen des Beschwerdegegners für das Handeln der beauftragten Ingenieurunternehmen nach dem kantonalen Verantwortlichkeitsgesetz (LRECA) verneinte. Damit verfehlt die Beschwerdeführerin die an Verfassungsrügen gestellten gesetzlichen Begründungsanforderungen ( Art. 106 Abs. 2 BGG ).</w:t>
      </w:r>
    </w:p>
    <w:p>
      <w:r>
        <w:t>Abgesehen davon kann der Beschwerdeführerin nicht gefolgt werden, wenn sie die vorinstanzliche Erwägung, wonach eine Gewinnherausgabe nach Art. 423 OR Bösgläubigkeit des Geschäftsführers voraussetze, als unhaltbar bezeichnet, entspricht dies doch der neueren publizierten Rechtsprechung des Bundesgerichts zur erwähnten Bestimmung ( BGE 129 III 422 E. 4 S. 425; 126 III 69 E. 2a S. 72). Soweit die Vorinstanz Art. 423 OR als kantonales Ersatzrecht angewendet hat, ist somit keine Willkür dargetan.</w:t>
      </w:r>
    </w:p>
    <w:p>
      <w:r>
        <w:rPr>
          <w:b/>
        </w:rPr>
        <w:t>E. 3.3</w:t>
      </w:r>
    </w:p>
    <w:p>
      <w:r>
        <w:t>Die Beschwerdeführerin wirft der Vorinstanz eine Verletzung der Eigentumsgarantie ( Art. 26 BV ) vor, begründet diesen Vorwurf jedoch lediglich mit der allgemeinen Behauptung, der Beschwerdegegner habe in Verletzung der Bestimmungen des UWG eines ihrer Arbeitsergebnisse verwertet und damit "in unzulässiger Weise in die vermögenswerten Rechte der Beschwerdeführerin eingegriffen". Damit zeigt sie keine Verletzung des angerufenen Verfassungsrechts auf.</w:t>
      </w:r>
    </w:p>
    <w:p>
      <w:r>
        <w:rPr>
          <w:b/>
        </w:rPr>
        <w:t>E. 4</w:t>
      </w:r>
    </w:p>
    <w:p>
      <w:r>
        <w:t>Die Beschwerdeführerin rügt, die Vorinstanz habe die Verfahrenskosten willkürlich festgesetzt.</w:t>
      </w:r>
    </w:p>
    <w:p>
      <w:r>
        <w:rPr>
          <w:b/>
        </w:rPr>
        <w:t>E. 4.1</w:t>
      </w:r>
    </w:p>
    <w:p>
      <w:r>
        <w:t>Sie bringt vor, verschiedene "Machenschaften" hätten den Prozess über Gebühr verkompliziert, verlängert und verteuert, was der Beschwerdegegner zu vertreten habe. Dazu führt sie in appellatorischer Weise verschiedene Vorgänge im Rahmen des Verfahrens ins Feld und bezichtigt den Beschwerdegegner der Lüge oder wirft ihm "Schwindel" vor. Dabei erwähnt sie unter anderem ihren "hohen Arbeitsaufwand" sowie den Umfang der Edition des Prozessgegners von 14'000 Seiten. Sie lässt indessen den im angefochtenen Entscheid aufgeführten Umstand unerwähnt, dass sie selbst im Laufe des Verfahrens die Herausgabe unzähliger Urkunden durch den Beschwerdegegner beantragt hatte, was die Vorinstanz zur Bemerkung veranlasste, die Beschwerdeführerin hätte die Dokumente zum grossen Teil bloss pauschal und unbestimmt umschrieben, weshalb sich die angeordnete Edition an der Grenze des prozessual Zulässigen bewege und die Beweisanträge einer verpönten Beweisausforschung sehr nahekomme.</w:t>
      </w:r>
    </w:p>
    <w:p>
      <w:r>
        <w:t>Die Rüge, die Vorinstanz habe sich willkürlich über § 66 Abs. 1 aZPO/ZH hinweggesetzt, wonach unnötige Kosten der verursachenden Partei ohne Rücksicht auf den Ausgang des Prozesses auferlegt werden, ist vor diesem Hintergrund unbegründet. Die Beschwerdeführerin verkennt mit ihren Vorbringen unter anderem, worauf der Beschwerdegegner zu Recht hinweist, dass es in der Natur eines Zivilprozesses liegt, dass im Verfahren widersprechende Behauptungen aufgestellt werden, die gegebenenfalls in einem Beweisverfahren abgeklärt werden müssen. Entgegen dem, was die Beschwerdeführerin anzunehmen scheint, lässt der Umstand allein, dass eine Partei eine Behauptung des Verfahrensgegners bestreitet und ein Beweisverfahren durchgeführt werden muss, die entsprechenden Kosten nicht in jedem Fall als unnötig, geschweige denn eine Kostenverteilung nach dem Ausgang des Verfahrens als willkürlich erscheinen.</w:t>
      </w:r>
    </w:p>
    <w:p>
      <w:r>
        <w:rPr>
          <w:b/>
        </w:rPr>
        <w:t>E. 4.2</w:t>
      </w:r>
    </w:p>
    <w:p>
      <w:r>
        <w:t>Die Beschwerdeführerin behauptet im Weiteren, die Vorinstanz hätte auf das Beweis- und Gutachterverfahren verzichten können, begründet dies jedoch mit keinem Wort. Sie zeigt nicht auf, inwiefern die Kosten in Anwendung von § 66 Abs. 2 aZPO/ZH hätten auf die Gerichtskasse genommen werden müssen und eine Kostenauflage an sie als unterliegende Partei willkürlich sein soll (vgl. Art. 106 Abs. 2 BGG ). Ebenso wenig legt sie dar, inwiefern die Vorinstanz ihr Ermessen bei der Festsetzung der Parteientschädigung willkürlich ausgeübt haben soll.</w:t>
      </w:r>
    </w:p>
    <w:p>
      <w:r>
        <w:t>Ins Leere stösst auch der nicht weiter begründete Vorwurf, die Vorinstanz habe den Gehörsanspruch ( Art. 29 Abs. 2 BV ) verletzt. Insbesondere vermag die Beschwerdeführerin nicht aufzuzeigen, inwiefern ihr die Begründung des angefochtenen Entscheids verunmöglicht hätte, diesen gegebenenfalls sachgerecht anzufechten ( BGE 136 V 351 E. 4.2 S. 355 ; 134 I 83 E. 4.1 S. 88; 133 III 439 E. 3.3 S. 445; je mit Hinweisen).</w:t>
      </w:r>
    </w:p>
    <w:p>
      <w:r>
        <w:rPr>
          <w:b/>
        </w:rPr>
        <w:t>E. 5</w:t>
      </w:r>
    </w:p>
    <w:p>
      <w:r>
        <w:t>Die Beschwerde erweist sich als unbegründet und ist abzuweisen, soweit darauf eingetreten werden kann. Bei diesem Verfahrensausgang wird die Beschwerdeführerin kostenpflichtig ( Art. 66 Abs. 1 BGG ). Dem Kanton Waadt ist keine Parteientschädigung zuzusprechen. Gründe, um ausnahmsweise von der Regel nach Art. 68 Abs. 3 BGG abzuweichen, werden weder vom Beschwerdegegner genannt noch sind solche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