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4A_396/2021 vom 2. Februar 2022</w:t>
      </w:r>
    </w:p>
    <w:p>
      <w:r>
        <w:t>Bundesgericht, 2022-02-02, DE</w:t>
      </w:r>
    </w:p>
    <w:p>
      <w:r>
        <w:rPr>
          <w:b/>
        </w:rPr>
        <w:t xml:space="preserve">Quelle: </w:t>
      </w:r>
      <w:r>
        <w:t>https://mcp.opencaselaw.ch/entscheid/bger_4A_396_2021</w:t>
      </w:r>
    </w:p>
    <w:p>
      <w:r>
        <w:t>FR: TF 4A_396/2021 du 2 février 2022</w:t>
      </w:r>
    </w:p>
    <w:p>
      <w:r>
        <w:t>IT: TF 4A_396/2021 del 2 febbraio 2022</w:t>
      </w:r>
    </w:p>
    <w:p>
      <w:pPr>
        <w:pStyle w:val="Heading2"/>
      </w:pPr>
      <w:r>
        <w:t>Erwägungen</w:t>
      </w:r>
    </w:p>
    <w:p>
      <w:r>
        <w:rPr>
          <w:b/>
        </w:rPr>
        <w:t>E. 1</w:t>
      </w:r>
    </w:p>
    <w:p>
      <w:r>
        <w:t>Der angefochtene Entscheid des Obergerichts ist ein Endentscheid ( Art. 90 BGG ) einer Vorinstanz im Sinne von Art. 75 BGG . Weiter erreicht der Streitwert den nach Art. 74 Abs. 1 lit. a BGG in arbeitsrechtlichen Fällen geltenden Mindestbetrag von Fr. 15'000.--.</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3</w:t>
      </w:r>
    </w:p>
    <w:p>
      <w:r>
        <w:t>Die in der Beschwerde formulierte appellatorische Kritik genügt diesen Anforderungen nicht.</w:t>
      </w:r>
    </w:p>
    <w:p>
      <w:r>
        <w:rPr>
          <w:b/>
        </w:rPr>
        <w:t>E. 3.1</w:t>
      </w:r>
    </w:p>
    <w:p>
      <w:r>
        <w:t>Vor Vorinstanz war - soweit hier interessierend - einzig streitig, ob die von der Beschwerdeführerin zur Verrechnung gestellten Forderungen bewiesen sind. Das Obergericht stellte ausdrücklich fest, dass der Beschwerdegegner diese Gegenforderungen bestritten hatte.</w:t>
      </w:r>
    </w:p>
    <w:p>
      <w:r>
        <w:t>In der beim Bundesgericht eingereichten Beschwerde behauptet die Beschwerdeführerin nun unter ausführlicher Wiedergabe der Vorbringen in den kantonalen Rechtsschriften, diese Forderungen seien vom Beschwerdegegner gar nicht "rechtsgenüglich bestritten" worden, weshalb sie als anerkannt gelten würden und die Vorinstanz darüber nicht Beweis hätte abnehmen dürfen.</w:t>
      </w:r>
    </w:p>
    <w:p>
      <w:r>
        <w:t>Der Beschwerdegegner entgegnet, es treffe zwar zu, dass er "gewisse Bestreitungen nur summarisch" vorgetragen habe. Indes könne die Bestreitungslast auch mit "impliziten" Bestreitungen erfüllt werden. Wenn er etwa allgemein die Konkurrenzierung bestritten habe, sei darin implizit auch eine Bestreitung der einzelnen Verrechnungsforderungen zu sehen. Es sei von ihm ganz grundsätzlich bestritten worden, Kunden abgeworben zu haben, weshalb es nicht nötig sei, "zusätzlich" eine "explizite Bestreitung bei jedem einzelnen Kunden" anzubringen. Jedenfalls habe er nicht nur "pauschal" sämtliche Gegenforderungen, sondern "auch die einzelnen Forderungen unter Verweis auf die eingereichten Beweisurkunden" bestritten.</w:t>
      </w:r>
    </w:p>
    <w:p>
      <w:r>
        <w:t>Richtig ist, dass es - analog zu impliziten beziehungsweise mitbehaupteten Tatsachen ( BGE 144 III 519 E. 5.3.2 S. 526) - auch implizite Bestreitungen gibt. Zwar hat die Vorinstanz nicht spezifiziert, wo welche Verrechnungsforderung "bestritten" wurde, sondern nur allgemein festgehalten, die Gegenforderungen seien "bestritten". Entscheidend ist, ob die Beschwerdeführerin im kantonalen Verfahren derart exakte Behauptungen aufgestellt hat, welche die - allenfalls relativ allgemein gefassten, eventuell "impliziten" - Bestreitungen des Beschwerdegegners als unzureichend erscheinen lassen. Der erforderliche Grad der Substanziierung der Bestreitungen hängt insofern vom Grad der Substanziierung der Behauptungen ab (im Einzelnen BGE 144 III 519 E. 5.2.1.1 und 5.2.2.3: "plus les allégués du demandeur sont motivés, plus les exigences de contestation de ceux-ci par la partie adverse sont élevées"). Es gelingt der Beschwerdeführerin nicht, aufzuzeigen, inwiefern die Vorinstanz ihren Erwägungen vor diesem Hintergrund eine unrichtige Rechtsauffassung zugrunde gelegt hätte. Zu beachten ist im Übrigen, dass die Beschwerde in Zivilsachen nicht dazu dient, das kantonale Verfahren neu aufzurollen. Das Bundesgericht ist an die vorinstanzlich festgestellten Tatsachen - wozu auch der Prozesssachverhalt gehört - gebunden. Es ist nicht seine Aufgabe, die im kantonalen Verfahren eingereichten Rechtsschriften auszulegen und Aussagen darüber zu treffen, wie die darin enthaltenen Behauptungen und Bestreitungen zu interpretieren sind. Es bleibt daher bei der obergerichtlichen Erkenntnis, die zur Verrechnung gestellten Forderungen seien "bestritten" worden.</w:t>
      </w:r>
    </w:p>
    <w:p>
      <w:r>
        <w:rPr>
          <w:b/>
        </w:rPr>
        <w:t>E. 3.2</w:t>
      </w:r>
    </w:p>
    <w:p>
      <w:r>
        <w:t>Im Eventualstandpunkt - "[s]elbst für den Fall" rechtsgenüglicher Bestreitung - vertritt die Beschwerdeführerin die Auffassung, eine "korrekte Würdigung" des Sachverhalts hätte zur Zulassung ihrer Verrechnungsforderungen führen müssen. Sie kritisiert unter Hinweis auf Art. 157 ZPO eine "falsche Beweiswürdigung", unterlässt es aber auch hier, eine rechtsgenüglich begründete Willkürrüge zu erheben.</w:t>
      </w:r>
    </w:p>
    <w:p>
      <w:r>
        <w:rPr>
          <w:b/>
        </w:rPr>
        <w:t>E. 3.3</w:t>
      </w:r>
    </w:p>
    <w:p>
      <w:r>
        <w:t>Die Beschwerdeführerin nennt über die ganze Beschwerdeschrift verteilt verschiedene Rechtsnormen, welche die Vorinstanz angeblich verletzt habe, so Art. 29 Abs. 2 BV , Art. 4 ZGB , Art. 42 OR oder Art. 55, Art. 58, Art. 221 und Art. 317 ZPO . Nicht nur laufen diese Rügen stets auf den Vorwurf unzutreffender Beweiswürdigung hinaus, sie beruhen auch auf einem vorinstanzlich nicht festgestellten Tatsachenfundament und stellen eine Vermengung von Rechts- und Sachverhaltskritik dar, ohne dass aufgezeigt würde, inwiefern das Obergericht die - entscheiderheblichen - Tatsachen offensichtlich unrichtig festgestellt haben soll. Damit ist die Beschwerdeführerin nicht zu hören.</w:t>
      </w:r>
    </w:p>
    <w:p>
      <w:r>
        <w:rPr>
          <w:b/>
        </w:rPr>
        <w:t>E. 3.4</w:t>
      </w:r>
    </w:p>
    <w:p>
      <w:r>
        <w:t>Insoweit ist die Beschwerde abzuweisen, soweit darauf eingetreten werden kann.</w:t>
      </w:r>
    </w:p>
    <w:p>
      <w:r>
        <w:rPr>
          <w:b/>
        </w:rPr>
        <w:t>E. 4</w:t>
      </w:r>
    </w:p>
    <w:p>
      <w:r>
        <w:t>Die Beschwerdeführerin beanstandet unabhängig vom Ausgang in der Sache die obergerichtliche Verteilung der erstinstanzlichen Prozesskosten.</w:t>
      </w:r>
    </w:p>
    <w:p>
      <w:r>
        <w:rPr>
          <w:b/>
        </w:rPr>
        <w:t>E. 4.1</w:t>
      </w:r>
    </w:p>
    <w:p>
      <w:r>
        <w:t>Der Beschwerdegegner verlangte (anfänglich) in Klagebegehren-Ziffer 1 die Bezahlung von Fr. 138'273.40 nebst Zins. An der Hauptverhandlung hielt er daran fest. Im anstelle des Schlussvortrags eingereichten schriftlichen Parteivortrag ( Art. 232 Abs. 2 ZPO ) begehrte er in Rechtsbegehren-Ziffer 1 nur noch die Bezahlung von Fr. 115'699.20 nebst Zins. Dies stellt eine Beschränkung der Klage im Sinne von Art. 227 Abs. 3 ZPO dar, wie das Regionalgericht zutreffend festgestellt hat.</w:t>
      </w:r>
    </w:p>
    <w:p>
      <w:r>
        <w:t>Dementsprechend war vor Obergericht in Bezug auf dieses Begehren einzig die Bezahlung von Fr. 115'699.20 strittig. Unter Addition der eingeklagten zwei Monatslöhne unter dem Titel von Art. 337c Abs. 3 OR "in der Grössenordnung" von Fr. 20'000.-- (vgl. Rechtsbegehren-Ziffer 4; insgesamt somit Fr. 135'699.20) errechnete die Vorinstanz, dass die Beschwerdeführerin im obergerichtlichen Verfahren zu zwei Dritteln unterlag (Klage im Umfang von Fr. 88'031.-- gutgeheissen, bei insgesamt strittigen Fr. 135'699.20).</w:t>
      </w:r>
    </w:p>
    <w:p>
      <w:r>
        <w:t>Diesen Verteilungsschlüssel (zwei Drittel vs. ein Drittel) wandte das Obergericht auch auf die erstinstanzlichen Prozesskosten an.</w:t>
      </w:r>
    </w:p>
    <w:p>
      <w:r>
        <w:rPr>
          <w:b/>
        </w:rPr>
        <w:t>E. 4.2</w:t>
      </w:r>
    </w:p>
    <w:p>
      <w:r>
        <w:t>Die Beschwerdeführerin bringt vor, dass der Beschwerdegegner im ursprünglichen Klagebegehren-Ziffer 1 noch die Bezahlung von Fr. 138'273.40 verlangt und die in Klagebegehren-Ziffer 4 beantragte Entschädigung ( Art. 337c Abs. 3 OR ) auf richterliche Nachfrage auf mindestens Fr. 30'000.-- beziffert habe. Bei einem vor Regionalgericht (zunächst) eingeklagten Betrag von demnach mindestens Fr. 168'273.40 und Unterliegen in Höhe von Fr. 88'031.-- hätten die Kosten des erstinstanzlichen Prozesses - so die Beschwerdeführerin - den Parteien je hälftig auferlegt werden müssen. Es könne für die Verteilung der Prozesskosten nicht allein auf die Rechtsbegehren nach der Klagereduktion abgestellt werden, zumal der Beschwerdegegner die Klage erst im Schlussvortrag beschränkt und folglich bis zu diesem Zeitpunkt einen erheblichen, unnötigen Aufwand verursacht habe.</w:t>
      </w:r>
    </w:p>
    <w:p>
      <w:r>
        <w:rPr>
          <w:b/>
        </w:rPr>
        <w:t>E. 4.3</w:t>
      </w:r>
    </w:p>
    <w:p>
      <w:r>
        <w:t>Der Beschwerdegegner entgegnet, dass für die Kostenverteilung einzig jener Betrag relevant sei, den er "- nach allfälliger Reduktion der Klageforderung - im Zeitpunkt der Urteilsfällung geltend gemacht" habe.</w:t>
      </w:r>
    </w:p>
    <w:p>
      <w:r>
        <w:rPr>
          <w:b/>
        </w:rPr>
        <w:t>E. 4.4</w:t>
      </w:r>
    </w:p>
    <w:p>
      <w:r>
        <w:t>Dies trifft nicht zu:</w:t>
      </w:r>
    </w:p>
    <w:p>
      <w:r>
        <w:t>Eine Beschränkung der Klage während des Verfahrens ( Art. 227 Abs. 3 ZPO ) ist einem teilweisen Klagerückzug (im Sinne von Art. 65 ZPO ; vgl. ferner Art. 208 Abs. 2 und Art. 241 ZPO ) gleichzustellen. Sie hat - zumindest wenn sie ohne Zustimmung der Gegenpartei und beim an sich zuständigen Gericht erfolgt - Rechtskraftwirkung und schliesst ein erneutes Verfahren über den fallengelassenen Teil des Rechtsbegehrens zwischen den gleichen Parteien aus (Urteile 5A_216/2018 vom 11. September 2018 E. 5.1.2; 4A_138/2013 vom 27. Juni 2013 E. 3.3).</w:t>
      </w:r>
    </w:p>
    <w:p>
      <w:r>
        <w:t>Eine Partei, welche die Klage im Sinne von Art. 227 Abs. 3 ZPO beschränkt, gilt in diesem Umfang als unterliegend, mit entsprechender Kostenfolge ( Art. 106 Abs. 1 ZPO ; vgl. Urteil 4A_401/2019 vom 9. Dezember 2019 E. 5.3.2; HEINZMANN/CLÉMENT, in: CPC, Code de procédure civile, Chabloz/Dietschy-Martenet/Heinzmann [Hrsg.], 2020, N. 24 zu Art. 227 ZPO ; LAURENT KILLIAS, in: Berner Kommentar, Schweizerische Zivilprozessordnung, Bd. II, 2012, N. 43 zu Art. 227 ZPO ).</w:t>
      </w:r>
    </w:p>
    <w:p>
      <w:r>
        <w:rPr>
          <w:b/>
        </w:rPr>
        <w:t>E. 4.5</w:t>
      </w:r>
    </w:p>
    <w:p>
      <w:r>
        <w:t>Dies hat das Obergericht ausser Acht gelassen, wenn es für die Verteilung der Kosten des erstinstanzlichen Verfahrens ( Art. 318 Abs. 3 ZPO ) offenbar ausschliesslich auf den Ausgang des obergerichtlichen Prozesses abgestellt hat, ohne in Rechnung zu stellen, dass der Beschwerdegegner vor Regionalgericht zunächst einen höheren Betrag eingeklagt, darauf in der Folge aber (teilweise) verzichtet hat.</w:t>
      </w:r>
    </w:p>
    <w:p>
      <w:r>
        <w:t>Im erstinstanzlichen Entscheid blieb diese Unterscheidung noch ohne Belang, da der Beschwerdegegner nach regionalgerichtlicher Auffassung ohnehin im vollen Umfang unterlag ( Art. 106 Abs. 1 ZPO ). Das Obergericht, das in der Sache neu entschied und die vor Regionalgericht entstandenen Kosten nach dem Ausgang des Verfahrens ( Art. 106 Abs. 2 ZPO ) verteilte, hätte für das erstinstanzliche Verfahren die ursprünglich gestellten Klagebegehren mitberücksichtigen müssen. Dies schliesst nicht aus, dass die im Laufe des Verfahrens erfolgte Klagebeschränkung bei der Verteilung der Prozesskosten ermessensweise in Anschlag gebracht werden kann (vgl. Urteil 4A_401/2019 vom 9. Dezember 2019 E. 5.3.2).</w:t>
      </w:r>
    </w:p>
    <w:p>
      <w:r>
        <w:rPr>
          <w:b/>
        </w:rPr>
        <w:t>E. 4.6</w:t>
      </w:r>
    </w:p>
    <w:p>
      <w:r>
        <w:t>Die Sache ist zur Neuregelung der Kosten- und Entschädigungsfolgen des erstinstanzlichen Verfahrens an die Vorinstanz zurückzuweisen. Die Dispositivziffern 6 und 7 des angefochtenen Entscheids, in denen über die Kosten des Prozesses vor Regionalgericht entschieden wurde, sind demzufolge aufzuheben.</w:t>
      </w:r>
    </w:p>
    <w:p>
      <w:r>
        <w:rPr>
          <w:b/>
        </w:rPr>
        <w:t>E. 5</w:t>
      </w:r>
    </w:p>
    <w:p>
      <w:r>
        <w:t>Die Beschwerde ist teilweise gutzuheissen - soweit sie die Festsetzung der erstinstanzlichen Prozesskosten betrifft -, im Übrigen ist sie abzuweisen, soweit darauf eingetreten werden kann. Hinsichtlich der Kosten- und Entschädigungsfolgen des bundesgerichtlichen Verfahrens rechtfertigt es sich, der Beschwerdeführerin neun Zehntel und dem Beschwerdegegner einen Zehntel der Gerichtskosten aufzuerlegen ( Art. 66 Abs. 1 BGG ). Die Beschwerdeführerin hat dem Beschwerdegegner nach Kompensation der gegenseitigen Ansprüche eine entsprechend reduzierte Parteientschädigung zu bezahlen ( Art. 68 Abs. 1 und 2 BGG ). Diese ist aus der an die Bundesgerichtskasse geleisteten Sicherheit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