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4A_395/2024 vom 25. Juli 2024</w:t>
      </w:r>
    </w:p>
    <w:p>
      <w:r>
        <w:t>Bundesgericht, 2024-07-25, DE</w:t>
      </w:r>
    </w:p>
    <w:p>
      <w:r>
        <w:rPr>
          <w:b/>
        </w:rPr>
        <w:t xml:space="preserve">Quelle: </w:t>
      </w:r>
      <w:r>
        <w:t>https://mcp.opencaselaw.ch/entscheid/bger_4A_395_2024</w:t>
      </w:r>
    </w:p>
    <w:p>
      <w:r>
        <w:t>FR: TF 4A_395/2024 du 25 juillet 2024</w:t>
      </w:r>
    </w:p>
    <w:p>
      <w:r>
        <w:t>IT: TF 4A_395/2024 del 25 luglio 2024</w:t>
      </w:r>
    </w:p>
    <w:p>
      <w:pPr>
        <w:pStyle w:val="Heading2"/>
      </w:pPr>
      <w:r>
        <w:t>Erwägungen</w:t>
      </w:r>
    </w:p>
    <w:p>
      <w:r>
        <w:rPr>
          <w:b/>
        </w:rPr>
        <w:t>E. 1</w:t>
      </w:r>
    </w:p>
    <w:p>
      <w:r>
        <w:t>Das Bezirksgericht Pfäffikon ZH hiess mit Urteil vom 6. September 2023 die Klage des Beschwerdegegners teilweise gut, trat auf die Widerklage der Beschwerdeführerin nicht ein und verpflichtete die Beschwerdeführerin, dem Beschwerdegegner die Beträge von Fr. 20'000.--, Fr. 8'000.--, Fr. 17'000.-- und Fr. 5'206.12, je nebst Zins, zu bezahlen.</w:t>
      </w:r>
    </w:p>
    <w:p>
      <w:r>
        <w:t>Auf eine von der Beschwerdeführerin dagegen erhobene Berufung trat das Obergericht des Kantons Zürich mit Beschluss vom 10. Juni 2024 nicht ein.</w:t>
      </w:r>
    </w:p>
    <w:p>
      <w:r>
        <w:t>Dagegen erhob die Beschwerdeführerin mit Eingabe vom 12. Juli 2024 Beschwerde beim Bundesgericht. Gleichzeitig ersuchte sie darum, es sei ihr für das bundesgerichtliche Verfahren die unentgeltliche Rechtspflege zu gewähren.</w:t>
      </w:r>
    </w:p>
    <w:p>
      <w:r>
        <w:t>Auf die Einholung von Vernehmlassungen zur Beschwerde wurde verzichtet.</w:t>
      </w:r>
    </w:p>
    <w:p>
      <w:r>
        <w:rPr>
          <w:b/>
        </w:rPr>
        <w:t>E. 2</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detailliert und klar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w:t>
      </w:r>
    </w:p>
    <w:p>
      <w:r>
        <w:rPr>
          <w:b/>
        </w:rPr>
        <w:t>E. 3</w:t>
      </w:r>
    </w:p>
    <w:p>
      <w:r>
        <w:t>Die Vorinstanz trat auf die Berufung der Beschwerdeführerin nicht ein, weil die Berufungsschrift den gesetzlichen Rüge- und Begründungsanforderungen nicht genüge.</w:t>
      </w:r>
    </w:p>
    <w:p>
      <w:r>
        <w:t>Die Beschwerdeführerin setzt sich in ihrer Eingabe vom 12. Juli 2024 nicht, jedenfalls nicht hinreichend, mit den entsprechenden Erwägungen der Vorinstanz auseinander und legt nicht rechtsgenügend dar, welche Rechte diese inwiefern verletzt haben soll, indem sie gestützt darauf auf ihre Berufung nicht eintrat. Vielmehr unterbreitet sie dem Bundesgericht bloss ihren Standpunkt in der Sache.</w:t>
      </w:r>
    </w:p>
    <w:p>
      <w:r>
        <w:t>Damit genügt die vorliegende Beschwerde den vorstehend (Erwägung 2) dargestellten Begründungsanforderungen offensichtlich nicht, weshalb darauf nicht eingetreten werden kann ( Art. 108 Abs. 1 lit. b BGG ).</w:t>
      </w:r>
    </w:p>
    <w:p>
      <w:r>
        <w:rPr>
          <w:b/>
        </w:rPr>
        <w:t>E. 4</w:t>
      </w:r>
    </w:p>
    <w:p>
      <w:r>
        <w:t>Das Gesuch der Beschwerdeführerin um Gewährung der unentgeltlichen Rechtspflege für das bundesgerichtliche Verfahren, über das unter den gegebenen Umständen nicht vorgängig separat entschieden werden musste (vgl. Urteil 4A_20/2011 vom 11. April 2011 E. 7.2.2), ist abzuweisen, weil die Beschwerde als von vornherein aussichtslos erschien ( Art. 64 Abs. 1 BGG ).</w:t>
      </w:r>
    </w:p>
    <w:p>
      <w:r>
        <w:t>Dem Ausgang des Verfahrens entsprechend sind die Gerichtskosten der Beschwerdeführerin aufzuerlegen ( Art. 66 Abs. 1 BGG ).</w:t>
      </w:r>
    </w:p>
    <w:p>
      <w:r>
        <w:t>Der Beschwerdegegner hat keinen Anspruch auf eine Parteientschädigung, da ihm aus dem bundesgerichtlichen Verfahren kein Aufwand entstanden ist ( Art. 68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