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4A_395/2022 vom 11. Oktober 2022</w:t>
      </w:r>
    </w:p>
    <w:p>
      <w:r>
        <w:t>Bundesgericht, 2022-10-11, FR</w:t>
      </w:r>
    </w:p>
    <w:p>
      <w:r>
        <w:rPr>
          <w:b/>
        </w:rPr>
        <w:t xml:space="preserve">Quelle: </w:t>
      </w:r>
      <w:r>
        <w:t>https://mcp.opencaselaw.ch/entscheid/bger_4A_395_2022</w:t>
      </w:r>
    </w:p>
    <w:p>
      <w:r>
        <w:t>FR: TF 4A_395/2022 du 11 octobre 2022</w:t>
      </w:r>
    </w:p>
    <w:p>
      <w:r>
        <w:t>IT: TF 4A_395/2022 del 11 ottobre 2022</w:t>
      </w:r>
    </w:p>
    <w:p>
      <w:pPr>
        <w:pStyle w:val="Heading2"/>
      </w:pPr>
      <w:r>
        <w:t>Erwägungen</w:t>
      </w:r>
    </w:p>
    <w:p>
      <w:r>
        <w:rPr>
          <w:b/>
        </w:rPr>
        <w:t>E. 1</w:t>
      </w:r>
    </w:p>
    <w:p>
      <w:r>
        <w:t>Interjeté dans le délai fixé par la loi ( art. 100 al. 1 et art. 46 al. 1 let. b LTF ) par le demandeur,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recourant reproche à la cour cantonale d'avoir commis l'arbitraire dans son appréciation des preuves ( art. 9 Cst. ) et d'avoir violé son droit d'être entendu ( art. 29 al. 2 Cst. ).</w:t>
      </w:r>
    </w:p>
    <w:p>
      <w:r>
        <w:rPr>
          <w:b/>
        </w:rPr>
        <w:t>E. 3.1.1</w:t>
      </w:r>
    </w:p>
    <w:p>
      <w:r>
        <w:t>L'action en libération de dette ( art. 83 al. 2 LP ) est une action de droit matériel tendant à faire constater que la créance déduite en poursuite était inexistante ou inexigible au moment de l'introduction de la poursuite. 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 pas les sommes réclamées ( ATF 131 III 268 consid. 3.1; 130 III 285 consid. 5.3.1; arrêt 4A_482/2019 du 10 novembre 2020 consid. 3). Les créances invoquées en compensation doivent être prouvées par le débiteur compensant (cf. FABIENNE HOHL, Procédure civile, t. I, 2e éd. 2016, p. 351 s. n. 2112).</w:t>
      </w:r>
    </w:p>
    <w:p>
      <w:r>
        <w:rPr>
          <w:b/>
        </w:rPr>
        <w:t>E. 3.1.2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3.2</w:t>
      </w:r>
    </w:p>
    <w:p>
      <w:r>
        <w:t>La cour cantonale a, en substance, retenu que les allégations du demandeur, selon lesquelles il aurait été convenu que le défendeur lui versât un montant mensuel de 4'300 fr. pour la mise à disposition d'un véhicule de taxi, en sus d'une indemnité kilométrique, n'étaient nullement vérifiées et étaient notamment contredites par les termes du " contrat de travail " du 10 février 2000. Elle a relevé, d'une part, que le seul témoin entendu par le tribunal n'avait pas confirmé les chiffres avancés par le demandeur et ses allégations selon lesquelles personne n'aurait accepté un forfait de 100 fr. par jour de sortie et, d'autre part, que la signature du demandeur au bas des décomptes de salaire et des relevés horaires établis mensuellement indiquait que les sommes lui revenant lui avaient effectivement été versées et/ou avaient été compensées avec certaines charges assumées par le défendeur.</w:t>
      </w:r>
    </w:p>
    <w:p>
      <w:r>
        <w:rPr>
          <w:b/>
        </w:rPr>
        <w:t>E. 3.3</w:t>
      </w:r>
    </w:p>
    <w:p>
      <w:r>
        <w:t>Selon le recourant, le témoin aurait indiqué qu'il appliquait lui-même à l'époque des faits des " forfaits par kilomètre qui allaient de CHF 2.- à CHF 3.- ", qu'il estimait les distances parcourues par les chauffeurs de taxi travaillant à 100 % à 3'500 km par mois, qu'il pouvait obtenir un revenu substantiellement supérieur à celui du demandeur contre la mise à disposition de son véhicule - soit un montant journalier compris entre 225 fr. et 338 fr. -, et qu'il n'avait jamais vu un contrat similaire à celui ici litigieux.</w:t>
      </w:r>
    </w:p>
    <w:p>
      <w:r>
        <w:t>Le recourant invoque qu'aucune raison n'aurait justifié qu'il appliquât dans sa relation avec l'intimé un tarif jusqu'à trois fois inférieur à celui pratiqué par les autres chauffeurs de taxi de la place et que le montant de 100 fr. par jour, tel qu'il est mentionné dans le " contrat de travail " simulé, ne pouvait en aucun cas refléter la réalité.</w:t>
      </w:r>
    </w:p>
    <w:p>
      <w:r>
        <w:t>En outre, le recourant reproche à la cour cantonale d'avoir omis d'intégrer dans son raisonnement le forfait kilométrique compris entre 2 fr. et 3 fr. qu'aurait pratiqué le témoin et d'avoir ainsi violé son droit d'être entendu.</w:t>
      </w:r>
    </w:p>
    <w:p>
      <w:r>
        <w:rPr>
          <w:b/>
        </w:rPr>
        <w:t>E. 3.4</w:t>
      </w:r>
    </w:p>
    <w:p>
      <w:r>
        <w:t>Le recourant se fonde sur des faits qui n'ont pas été constatés par la cour cantonale. Dans la mesure où il n'invoque ni n'établit avoir allégué les faits litigieux, il ne requiert pas valablement le complètement de l'état de fait (cf.</w:t>
      </w:r>
    </w:p>
    <w:p>
      <w:r>
        <w:t>supra consid. 2.1). La Cour de céans ne peut dès lors pas tenir compte de ces faits, dont fait partie le forfait par kilomètre compris entre 2 fr. et 3 fr. qu'aurait pratiqué le témoin.</w:t>
      </w:r>
    </w:p>
    <w:p>
      <w:r>
        <w:t>En tout état de cause, le recourant ne saurait déduire d'une éventuelle pratique du témoin une convention avec l'intimé différente de celle attestée tant par le " contrat de travail " que par les décomptes de salaire et les relevés horaires. Partant, c'est sans arbitraire que la cour cantonale a apprécié les déclarations du témoin et constaté que le demandeur n'avait démontré ni l'existence ni le bien-fondé des créances qu'il invoquait en compensation, de sorte que le grief doit être rejeté. En tant qu'il soutient par ailleurs que le contrat de travail a été simulé, son affirmation ne repose sur aucun fait constaté.</w:t>
      </w:r>
    </w:p>
    <w:p>
      <w:r>
        <w:t>La cour cantonale n'a pas non plus violé le droit d'être entendu du demandeur recourant, dès lors que le tarif kilométrique litigieux n'est pas déterminant pour l'issue du litige.</w:t>
      </w:r>
    </w:p>
    <w:p>
      <w:r>
        <w:rPr>
          <w:b/>
        </w:rPr>
        <w:t>E. 4</w:t>
      </w:r>
    </w:p>
    <w:p>
      <w:r>
        <w:t>Au vu de ce qui précède, le recours doit être rejeté.</w:t>
      </w:r>
    </w:p>
    <w:p>
      <w:r>
        <w:t>Le recours étant manifestement dépourvu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w:t>
      </w:r>
    </w:p>
    <w:p>
      <w:r>
        <w:t>Les frais judiciaires seront mis à la charge du recourant ( art. 66 al. 1 LTF ). Dans la mesure où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